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240" w:line="405" w:lineRule="atLeast"/>
        <w:jc w:val="center"/>
        <w:rPr>
          <w:rFonts w:ascii="Arial" w:hAnsi="Arial" w:cs="Arial"/>
          <w:color w:val="000000" w:themeColor="text1"/>
          <w:kern w:val="0"/>
          <w:sz w:val="30"/>
          <w:szCs w:val="30"/>
          <w14:textFill>
            <w14:solidFill>
              <w14:schemeClr w14:val="tx1"/>
            </w14:solidFill>
          </w14:textFill>
        </w:rPr>
      </w:pPr>
      <w:r>
        <w:rPr>
          <w:rFonts w:hint="eastAsia"/>
          <w:color w:val="000000" w:themeColor="text1"/>
          <w:sz w:val="30"/>
          <w:szCs w:val="30"/>
          <w14:textFill>
            <w14:solidFill>
              <w14:schemeClr w14:val="tx1"/>
            </w14:solidFill>
          </w14:textFill>
        </w:rPr>
        <w:t>证券投资基金投资者权益须知</w:t>
      </w:r>
    </w:p>
    <w:p>
      <w:pPr>
        <w:widowControl/>
        <w:spacing w:before="240" w:line="405" w:lineRule="atLeast"/>
        <w:jc w:val="left"/>
        <w:rPr>
          <w:rFonts w:ascii="Arial" w:hAnsi="Arial" w:cs="Arial"/>
          <w:color w:val="000000" w:themeColor="text1"/>
          <w:kern w:val="0"/>
          <w:szCs w:val="21"/>
          <w14:textFill>
            <w14:solidFill>
              <w14:schemeClr w14:val="tx1"/>
            </w14:solidFill>
          </w14:textFill>
        </w:rPr>
      </w:pPr>
      <w:r>
        <w:rPr>
          <w:rFonts w:hint="eastAsia" w:ascii="Arial" w:hAnsi="Arial" w:cs="Arial"/>
          <w:color w:val="000000" w:themeColor="text1"/>
          <w:kern w:val="0"/>
          <w:szCs w:val="21"/>
          <w14:textFill>
            <w14:solidFill>
              <w14:schemeClr w14:val="tx1"/>
            </w14:solidFill>
          </w14:textFill>
        </w:rPr>
        <w:t>尊敬的基金投资人：</w:t>
      </w:r>
    </w:p>
    <w:p>
      <w:pPr>
        <w:widowControl/>
        <w:spacing w:before="240" w:line="405" w:lineRule="atLeast"/>
        <w:jc w:val="left"/>
        <w:rPr>
          <w:rFonts w:ascii="Arial" w:hAnsi="Arial" w:cs="Arial"/>
          <w:color w:val="000000" w:themeColor="text1"/>
          <w:kern w:val="0"/>
          <w:szCs w:val="21"/>
          <w14:textFill>
            <w14:solidFill>
              <w14:schemeClr w14:val="tx1"/>
            </w14:solidFill>
          </w14:textFill>
        </w:rPr>
      </w:pPr>
      <w:r>
        <w:rPr>
          <w:rFonts w:hint="eastAsia" w:ascii="Arial" w:hAnsi="Arial" w:cs="Arial"/>
          <w:color w:val="000000" w:themeColor="text1"/>
          <w:kern w:val="0"/>
          <w:szCs w:val="21"/>
          <w14:textFill>
            <w14:solidFill>
              <w14:schemeClr w14:val="tx1"/>
            </w14:solidFill>
          </w14:textFill>
        </w:rPr>
        <w:t>　　</w:t>
      </w:r>
      <w:r>
        <w:rPr>
          <w:rFonts w:hint="eastAsia" w:ascii="Arial" w:hAnsi="Arial" w:cs="Arial"/>
          <w:b/>
          <w:bCs/>
          <w:color w:val="000000" w:themeColor="text1"/>
          <w:kern w:val="0"/>
          <w:szCs w:val="21"/>
          <w14:textFill>
            <w14:solidFill>
              <w14:schemeClr w14:val="tx1"/>
            </w14:solidFill>
          </w14:textFill>
        </w:rPr>
        <w:t>基金投资在获取收益的同时存在投资风险。为了保护您的合法权益，请在投资基金前认真阅读以下内容：</w:t>
      </w:r>
    </w:p>
    <w:p>
      <w:pPr>
        <w:widowControl/>
        <w:spacing w:before="240" w:line="405" w:lineRule="atLeast"/>
        <w:jc w:val="left"/>
        <w:rPr>
          <w:rFonts w:ascii="Arial" w:hAnsi="Arial" w:cs="Arial"/>
          <w:b/>
          <w:bCs/>
          <w:color w:val="000000" w:themeColor="text1"/>
          <w:kern w:val="0"/>
          <w:szCs w:val="21"/>
          <w14:textFill>
            <w14:solidFill>
              <w14:schemeClr w14:val="tx1"/>
            </w14:solidFill>
          </w14:textFill>
        </w:rPr>
      </w:pPr>
      <w:r>
        <w:rPr>
          <w:rFonts w:hint="eastAsia" w:ascii="Arial" w:hAnsi="Arial" w:cs="Arial"/>
          <w:b/>
          <w:bCs/>
          <w:color w:val="000000" w:themeColor="text1"/>
          <w:kern w:val="0"/>
          <w:szCs w:val="21"/>
          <w14:textFill>
            <w14:solidFill>
              <w14:schemeClr w14:val="tx1"/>
            </w14:solidFill>
          </w14:textFill>
        </w:rPr>
        <w:t>　　一、基金的基本知识</w:t>
      </w:r>
    </w:p>
    <w:p>
      <w:pPr>
        <w:widowControl/>
        <w:spacing w:before="240" w:line="405" w:lineRule="atLeast"/>
        <w:jc w:val="left"/>
        <w:rPr>
          <w:rFonts w:ascii="Arial" w:hAnsi="Arial" w:cs="Arial"/>
          <w:color w:val="000000" w:themeColor="text1"/>
          <w:kern w:val="0"/>
          <w:szCs w:val="21"/>
          <w14:textFill>
            <w14:solidFill>
              <w14:schemeClr w14:val="tx1"/>
            </w14:solidFill>
          </w14:textFill>
        </w:rPr>
      </w:pPr>
      <w:r>
        <w:rPr>
          <w:rFonts w:hint="eastAsia" w:ascii="Arial" w:hAnsi="Arial" w:cs="Arial"/>
          <w:color w:val="000000" w:themeColor="text1"/>
          <w:kern w:val="0"/>
          <w:szCs w:val="21"/>
          <w14:textFill>
            <w14:solidFill>
              <w14:schemeClr w14:val="tx1"/>
            </w14:solidFill>
          </w14:textFill>
        </w:rPr>
        <w:t>　　（一）什么是基金</w:t>
      </w:r>
    </w:p>
    <w:p>
      <w:pPr>
        <w:widowControl/>
        <w:spacing w:before="240" w:line="405" w:lineRule="atLeast"/>
        <w:jc w:val="left"/>
        <w:rPr>
          <w:rFonts w:ascii="Arial" w:hAnsi="Arial" w:cs="Arial"/>
          <w:color w:val="000000" w:themeColor="text1"/>
          <w:kern w:val="0"/>
          <w:szCs w:val="21"/>
          <w14:textFill>
            <w14:solidFill>
              <w14:schemeClr w14:val="tx1"/>
            </w14:solidFill>
          </w14:textFill>
        </w:rPr>
      </w:pPr>
      <w:r>
        <w:rPr>
          <w:rFonts w:hint="eastAsia" w:ascii="Arial" w:hAnsi="Arial" w:cs="Arial"/>
          <w:color w:val="000000" w:themeColor="text1"/>
          <w:kern w:val="0"/>
          <w:szCs w:val="21"/>
          <w14:textFill>
            <w14:solidFill>
              <w14:schemeClr w14:val="tx1"/>
            </w14:solidFill>
          </w14:textFill>
        </w:rPr>
        <w:t>　　证券投资基金（简称基金）是指通过发售基金份额，将众多投资者的资金集中起来，形成独立财产，由基金托管人托管，基金管理人管理，以投资组合的方法进行证券投资的一种</w:t>
      </w:r>
      <w:r>
        <w:rPr>
          <w:rFonts w:hint="eastAsia" w:ascii="Arial" w:hAnsi="Arial" w:cs="Arial"/>
          <w:b/>
          <w:bCs/>
          <w:color w:val="000000" w:themeColor="text1"/>
          <w:kern w:val="0"/>
          <w:szCs w:val="21"/>
          <w14:textFill>
            <w14:solidFill>
              <w14:schemeClr w14:val="tx1"/>
            </w14:solidFill>
          </w14:textFill>
        </w:rPr>
        <w:t>利益共享、风险共担</w:t>
      </w:r>
      <w:r>
        <w:rPr>
          <w:rFonts w:hint="eastAsia" w:ascii="Arial" w:hAnsi="Arial" w:cs="Arial"/>
          <w:color w:val="000000" w:themeColor="text1"/>
          <w:kern w:val="0"/>
          <w:szCs w:val="21"/>
          <w14:textFill>
            <w14:solidFill>
              <w14:schemeClr w14:val="tx1"/>
            </w14:solidFill>
          </w14:textFill>
        </w:rPr>
        <w:t>的集合投资方式。</w:t>
      </w:r>
    </w:p>
    <w:p>
      <w:pPr>
        <w:widowControl/>
        <w:numPr>
          <w:ilvl w:val="0"/>
          <w:numId w:val="1"/>
        </w:numPr>
        <w:spacing w:before="240" w:line="405" w:lineRule="atLeast"/>
        <w:ind w:left="420" w:leftChars="0" w:firstLine="0" w:firstLineChars="0"/>
        <w:jc w:val="left"/>
        <w:rPr>
          <w:rFonts w:hint="eastAsia" w:ascii="Arial" w:hAnsi="Arial" w:cs="Arial"/>
          <w:color w:val="000000" w:themeColor="text1"/>
          <w:kern w:val="0"/>
          <w:szCs w:val="21"/>
          <w14:textFill>
            <w14:solidFill>
              <w14:schemeClr w14:val="tx1"/>
            </w14:solidFill>
          </w14:textFill>
        </w:rPr>
      </w:pPr>
      <w:r>
        <w:rPr>
          <w:rFonts w:hint="eastAsia" w:ascii="Arial" w:hAnsi="Arial" w:cs="Arial"/>
          <w:color w:val="000000" w:themeColor="text1"/>
          <w:kern w:val="0"/>
          <w:szCs w:val="21"/>
          <w14:textFill>
            <w14:solidFill>
              <w14:schemeClr w14:val="tx1"/>
            </w14:solidFill>
          </w14:textFill>
        </w:rPr>
        <w:t>基金与股票、债券、储蓄存款等其它金融工具的区别</w:t>
      </w:r>
    </w:p>
    <w:tbl>
      <w:tblPr>
        <w:tblStyle w:val="1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8"/>
        <w:gridCol w:w="2556"/>
        <w:gridCol w:w="1644"/>
        <w:gridCol w:w="1519"/>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98" w:type="dxa"/>
            <w:vAlign w:val="center"/>
          </w:tcPr>
          <w:p>
            <w:pPr>
              <w:jc w:val="center"/>
              <w:rPr>
                <w:rFonts w:hint="eastAsia" w:ascii="Arial" w:hAnsi="Arial" w:cs="Arial"/>
                <w:b/>
                <w:bCs/>
                <w:color w:val="000000" w:themeColor="text1"/>
                <w:kern w:val="0"/>
                <w:szCs w:val="21"/>
                <w:vertAlign w:val="baseline"/>
                <w14:textFill>
                  <w14:solidFill>
                    <w14:schemeClr w14:val="tx1"/>
                  </w14:solidFill>
                </w14:textFill>
              </w:rPr>
            </w:pPr>
          </w:p>
        </w:tc>
        <w:tc>
          <w:tcPr>
            <w:tcW w:w="2556" w:type="dxa"/>
            <w:vAlign w:val="center"/>
          </w:tcPr>
          <w:p>
            <w:pPr>
              <w:keepNext w:val="0"/>
              <w:keepLines w:val="0"/>
              <w:widowControl/>
              <w:suppressLineNumbers w:val="0"/>
              <w:jc w:val="center"/>
              <w:textAlignment w:val="center"/>
              <w:rPr>
                <w:rFonts w:hint="eastAsia" w:ascii="Arial" w:hAnsi="Arial" w:cs="Arial"/>
                <w:b/>
                <w:bCs/>
                <w:color w:val="000000" w:themeColor="text1"/>
                <w:kern w:val="0"/>
                <w:szCs w:val="21"/>
                <w:vertAlign w:val="baseline"/>
                <w14:textFill>
                  <w14:solidFill>
                    <w14:schemeClr w14:val="tx1"/>
                  </w14:solidFill>
                </w14:textFill>
              </w:rPr>
            </w:pPr>
            <w:r>
              <w:rPr>
                <w:rFonts w:hint="eastAsia" w:ascii="宋体" w:hAnsi="宋体" w:eastAsia="宋体" w:cs="宋体"/>
                <w:b/>
                <w:bCs/>
                <w:i w:val="0"/>
                <w:color w:val="000000"/>
                <w:kern w:val="0"/>
                <w:sz w:val="22"/>
                <w:szCs w:val="22"/>
                <w:u w:val="none"/>
                <w:lang w:val="en-US" w:eastAsia="zh-CN" w:bidi="ar"/>
              </w:rPr>
              <w:t>基金</w:t>
            </w:r>
          </w:p>
        </w:tc>
        <w:tc>
          <w:tcPr>
            <w:tcW w:w="1644" w:type="dxa"/>
            <w:vAlign w:val="center"/>
          </w:tcPr>
          <w:p>
            <w:pPr>
              <w:keepNext w:val="0"/>
              <w:keepLines w:val="0"/>
              <w:widowControl/>
              <w:suppressLineNumbers w:val="0"/>
              <w:jc w:val="center"/>
              <w:textAlignment w:val="center"/>
              <w:rPr>
                <w:rFonts w:hint="eastAsia" w:ascii="Arial" w:hAnsi="Arial" w:cs="Arial"/>
                <w:b/>
                <w:bCs/>
                <w:color w:val="000000" w:themeColor="text1"/>
                <w:kern w:val="0"/>
                <w:szCs w:val="21"/>
                <w:vertAlign w:val="baseline"/>
                <w14:textFill>
                  <w14:solidFill>
                    <w14:schemeClr w14:val="tx1"/>
                  </w14:solidFill>
                </w14:textFill>
              </w:rPr>
            </w:pPr>
            <w:r>
              <w:rPr>
                <w:rFonts w:hint="eastAsia" w:ascii="宋体" w:hAnsi="宋体" w:eastAsia="宋体" w:cs="宋体"/>
                <w:b/>
                <w:bCs/>
                <w:i w:val="0"/>
                <w:color w:val="000000"/>
                <w:kern w:val="0"/>
                <w:sz w:val="22"/>
                <w:szCs w:val="22"/>
                <w:u w:val="none"/>
                <w:lang w:val="en-US" w:eastAsia="zh-CN" w:bidi="ar"/>
              </w:rPr>
              <w:t>股票</w:t>
            </w:r>
          </w:p>
        </w:tc>
        <w:tc>
          <w:tcPr>
            <w:tcW w:w="1519" w:type="dxa"/>
            <w:vAlign w:val="center"/>
          </w:tcPr>
          <w:p>
            <w:pPr>
              <w:keepNext w:val="0"/>
              <w:keepLines w:val="0"/>
              <w:widowControl/>
              <w:suppressLineNumbers w:val="0"/>
              <w:jc w:val="center"/>
              <w:textAlignment w:val="center"/>
              <w:rPr>
                <w:rFonts w:hint="eastAsia" w:ascii="Arial" w:hAnsi="Arial" w:cs="Arial"/>
                <w:b/>
                <w:bCs/>
                <w:color w:val="000000" w:themeColor="text1"/>
                <w:kern w:val="0"/>
                <w:szCs w:val="21"/>
                <w:vertAlign w:val="baseline"/>
                <w14:textFill>
                  <w14:solidFill>
                    <w14:schemeClr w14:val="tx1"/>
                  </w14:solidFill>
                </w14:textFill>
              </w:rPr>
            </w:pPr>
            <w:r>
              <w:rPr>
                <w:rFonts w:hint="eastAsia" w:ascii="宋体" w:hAnsi="宋体" w:eastAsia="宋体" w:cs="宋体"/>
                <w:b/>
                <w:bCs/>
                <w:i w:val="0"/>
                <w:color w:val="000000"/>
                <w:kern w:val="0"/>
                <w:sz w:val="22"/>
                <w:szCs w:val="22"/>
                <w:u w:val="none"/>
                <w:lang w:val="en-US" w:eastAsia="zh-CN" w:bidi="ar"/>
              </w:rPr>
              <w:t>债券</w:t>
            </w:r>
          </w:p>
        </w:tc>
        <w:tc>
          <w:tcPr>
            <w:tcW w:w="1705" w:type="dxa"/>
            <w:vAlign w:val="center"/>
          </w:tcPr>
          <w:p>
            <w:pPr>
              <w:keepNext w:val="0"/>
              <w:keepLines w:val="0"/>
              <w:widowControl/>
              <w:suppressLineNumbers w:val="0"/>
              <w:jc w:val="center"/>
              <w:textAlignment w:val="center"/>
              <w:rPr>
                <w:rFonts w:hint="eastAsia" w:ascii="Arial" w:hAnsi="Arial" w:cs="Arial"/>
                <w:b/>
                <w:bCs/>
                <w:color w:val="000000" w:themeColor="text1"/>
                <w:kern w:val="0"/>
                <w:szCs w:val="21"/>
                <w:vertAlign w:val="baseline"/>
                <w14:textFill>
                  <w14:solidFill>
                    <w14:schemeClr w14:val="tx1"/>
                  </w14:solidFill>
                </w14:textFill>
              </w:rPr>
            </w:pPr>
            <w:r>
              <w:rPr>
                <w:rFonts w:hint="eastAsia" w:ascii="宋体" w:hAnsi="宋体" w:eastAsia="宋体" w:cs="宋体"/>
                <w:b/>
                <w:bCs/>
                <w:i w:val="0"/>
                <w:color w:val="000000"/>
                <w:kern w:val="0"/>
                <w:sz w:val="22"/>
                <w:szCs w:val="22"/>
                <w:u w:val="none"/>
                <w:lang w:val="en-US" w:eastAsia="zh-CN" w:bidi="ar"/>
              </w:rPr>
              <w:t>银行储蓄存款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98" w:type="dxa"/>
            <w:vAlign w:val="center"/>
          </w:tcPr>
          <w:p>
            <w:pPr>
              <w:keepNext w:val="0"/>
              <w:keepLines w:val="0"/>
              <w:widowControl/>
              <w:suppressLineNumbers w:val="0"/>
              <w:jc w:val="left"/>
              <w:textAlignment w:val="center"/>
              <w:rPr>
                <w:rFonts w:hint="eastAsia" w:ascii="Arial" w:hAnsi="Arial" w:cs="Arial"/>
                <w:color w:val="000000" w:themeColor="text1"/>
                <w:kern w:val="0"/>
                <w:szCs w:val="21"/>
                <w:vertAlign w:val="baseline"/>
                <w14:textFill>
                  <w14:solidFill>
                    <w14:schemeClr w14:val="tx1"/>
                  </w14:solidFill>
                </w14:textFill>
              </w:rPr>
            </w:pPr>
            <w:r>
              <w:rPr>
                <w:rFonts w:hint="eastAsia" w:ascii="宋体" w:hAnsi="宋体" w:eastAsia="宋体" w:cs="宋体"/>
                <w:i w:val="0"/>
                <w:color w:val="000000"/>
                <w:kern w:val="0"/>
                <w:sz w:val="22"/>
                <w:szCs w:val="22"/>
                <w:u w:val="none"/>
                <w:lang w:val="en-US" w:eastAsia="zh-CN" w:bidi="ar"/>
              </w:rPr>
              <w:t>反映的经济关系不同</w:t>
            </w:r>
          </w:p>
        </w:tc>
        <w:tc>
          <w:tcPr>
            <w:tcW w:w="2556" w:type="dxa"/>
            <w:vAlign w:val="center"/>
          </w:tcPr>
          <w:p>
            <w:pPr>
              <w:keepNext w:val="0"/>
              <w:keepLines w:val="0"/>
              <w:widowControl/>
              <w:suppressLineNumbers w:val="0"/>
              <w:jc w:val="left"/>
              <w:textAlignment w:val="center"/>
              <w:rPr>
                <w:rFonts w:hint="eastAsia" w:ascii="Arial" w:hAnsi="Arial" w:cs="Arial"/>
                <w:color w:val="000000" w:themeColor="text1"/>
                <w:kern w:val="0"/>
                <w:szCs w:val="21"/>
                <w:vertAlign w:val="baseline"/>
                <w14:textFill>
                  <w14:solidFill>
                    <w14:schemeClr w14:val="tx1"/>
                  </w14:solidFill>
                </w14:textFill>
              </w:rPr>
            </w:pPr>
            <w:r>
              <w:rPr>
                <w:rFonts w:hint="eastAsia" w:ascii="宋体" w:hAnsi="宋体" w:eastAsia="宋体" w:cs="宋体"/>
                <w:i w:val="0"/>
                <w:color w:val="000000"/>
                <w:kern w:val="0"/>
                <w:sz w:val="22"/>
                <w:szCs w:val="22"/>
                <w:u w:val="none"/>
                <w:lang w:val="en-US" w:eastAsia="zh-CN" w:bidi="ar"/>
              </w:rPr>
              <w:t>信托关系，是一种受益凭证，投资者购买基金份额后成为基金受益人，基金管理人只是替投资者管理资金，并不承担投资损失风险</w:t>
            </w:r>
          </w:p>
        </w:tc>
        <w:tc>
          <w:tcPr>
            <w:tcW w:w="1644" w:type="dxa"/>
            <w:vAlign w:val="center"/>
          </w:tcPr>
          <w:p>
            <w:pPr>
              <w:keepNext w:val="0"/>
              <w:keepLines w:val="0"/>
              <w:widowControl/>
              <w:suppressLineNumbers w:val="0"/>
              <w:jc w:val="left"/>
              <w:textAlignment w:val="center"/>
              <w:rPr>
                <w:rFonts w:hint="eastAsia" w:ascii="Arial" w:hAnsi="Arial" w:cs="Arial"/>
                <w:color w:val="000000" w:themeColor="text1"/>
                <w:kern w:val="0"/>
                <w:szCs w:val="21"/>
                <w:vertAlign w:val="baseline"/>
                <w14:textFill>
                  <w14:solidFill>
                    <w14:schemeClr w14:val="tx1"/>
                  </w14:solidFill>
                </w14:textFill>
              </w:rPr>
            </w:pPr>
            <w:r>
              <w:rPr>
                <w:rFonts w:hint="eastAsia" w:ascii="宋体" w:hAnsi="宋体" w:eastAsia="宋体" w:cs="宋体"/>
                <w:i w:val="0"/>
                <w:color w:val="000000"/>
                <w:kern w:val="0"/>
                <w:sz w:val="22"/>
                <w:szCs w:val="22"/>
                <w:u w:val="none"/>
                <w:lang w:val="en-US" w:eastAsia="zh-CN" w:bidi="ar"/>
              </w:rPr>
              <w:t>所有权关系，是一种所有权凭证，投资者购买后成为公司股东</w:t>
            </w:r>
          </w:p>
        </w:tc>
        <w:tc>
          <w:tcPr>
            <w:tcW w:w="1519" w:type="dxa"/>
            <w:vAlign w:val="center"/>
          </w:tcPr>
          <w:p>
            <w:pPr>
              <w:keepNext w:val="0"/>
              <w:keepLines w:val="0"/>
              <w:widowControl/>
              <w:suppressLineNumbers w:val="0"/>
              <w:jc w:val="left"/>
              <w:textAlignment w:val="center"/>
              <w:rPr>
                <w:rFonts w:hint="eastAsia" w:ascii="Arial" w:hAnsi="Arial" w:cs="Arial"/>
                <w:color w:val="000000" w:themeColor="text1"/>
                <w:kern w:val="0"/>
                <w:szCs w:val="21"/>
                <w:vertAlign w:val="baseline"/>
                <w14:textFill>
                  <w14:solidFill>
                    <w14:schemeClr w14:val="tx1"/>
                  </w14:solidFill>
                </w14:textFill>
              </w:rPr>
            </w:pPr>
            <w:r>
              <w:rPr>
                <w:rFonts w:hint="eastAsia" w:ascii="宋体" w:hAnsi="宋体" w:eastAsia="宋体" w:cs="宋体"/>
                <w:i w:val="0"/>
                <w:color w:val="000000"/>
                <w:kern w:val="0"/>
                <w:sz w:val="22"/>
                <w:szCs w:val="22"/>
                <w:u w:val="none"/>
                <w:lang w:val="en-US" w:eastAsia="zh-CN" w:bidi="ar"/>
              </w:rPr>
              <w:t>债权债务关系，是一种债权凭证，投资者购买后成为该公司债权人</w:t>
            </w:r>
          </w:p>
        </w:tc>
        <w:tc>
          <w:tcPr>
            <w:tcW w:w="1705" w:type="dxa"/>
            <w:vAlign w:val="center"/>
          </w:tcPr>
          <w:p>
            <w:pPr>
              <w:keepNext w:val="0"/>
              <w:keepLines w:val="0"/>
              <w:widowControl/>
              <w:suppressLineNumbers w:val="0"/>
              <w:jc w:val="left"/>
              <w:textAlignment w:val="center"/>
              <w:rPr>
                <w:rFonts w:hint="eastAsia" w:ascii="Arial" w:hAnsi="Arial" w:cs="Arial"/>
                <w:color w:val="000000" w:themeColor="text1"/>
                <w:kern w:val="0"/>
                <w:szCs w:val="21"/>
                <w:vertAlign w:val="baseline"/>
                <w14:textFill>
                  <w14:solidFill>
                    <w14:schemeClr w14:val="tx1"/>
                  </w14:solidFill>
                </w14:textFill>
              </w:rPr>
            </w:pPr>
            <w:r>
              <w:rPr>
                <w:rFonts w:hint="eastAsia" w:ascii="宋体" w:hAnsi="宋体" w:eastAsia="宋体" w:cs="宋体"/>
                <w:i w:val="0"/>
                <w:color w:val="000000"/>
                <w:kern w:val="0"/>
                <w:sz w:val="22"/>
                <w:szCs w:val="22"/>
                <w:u w:val="none"/>
                <w:lang w:val="en-US" w:eastAsia="zh-CN" w:bidi="ar"/>
              </w:rPr>
              <w:t>表现为银行的负债，是一种信用凭证，银行对存款者负有法定的保本付息责任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98" w:type="dxa"/>
            <w:vAlign w:val="center"/>
          </w:tcPr>
          <w:p>
            <w:pPr>
              <w:keepNext w:val="0"/>
              <w:keepLines w:val="0"/>
              <w:widowControl/>
              <w:suppressLineNumbers w:val="0"/>
              <w:jc w:val="left"/>
              <w:textAlignment w:val="center"/>
              <w:rPr>
                <w:rFonts w:hint="eastAsia" w:ascii="Arial" w:hAnsi="Arial" w:cs="Arial"/>
                <w:color w:val="000000" w:themeColor="text1"/>
                <w:kern w:val="0"/>
                <w:szCs w:val="21"/>
                <w:vertAlign w:val="baseline"/>
                <w14:textFill>
                  <w14:solidFill>
                    <w14:schemeClr w14:val="tx1"/>
                  </w14:solidFill>
                </w14:textFill>
              </w:rPr>
            </w:pPr>
            <w:r>
              <w:rPr>
                <w:rFonts w:hint="eastAsia" w:ascii="宋体" w:hAnsi="宋体" w:eastAsia="宋体" w:cs="宋体"/>
                <w:i w:val="0"/>
                <w:color w:val="000000"/>
                <w:kern w:val="0"/>
                <w:sz w:val="22"/>
                <w:szCs w:val="22"/>
                <w:u w:val="none"/>
                <w:lang w:val="en-US" w:eastAsia="zh-CN" w:bidi="ar"/>
              </w:rPr>
              <w:t>所筹资金的投向不同</w:t>
            </w:r>
          </w:p>
        </w:tc>
        <w:tc>
          <w:tcPr>
            <w:tcW w:w="2556" w:type="dxa"/>
            <w:vAlign w:val="center"/>
          </w:tcPr>
          <w:p>
            <w:pPr>
              <w:keepNext w:val="0"/>
              <w:keepLines w:val="0"/>
              <w:widowControl/>
              <w:suppressLineNumbers w:val="0"/>
              <w:jc w:val="left"/>
              <w:textAlignment w:val="center"/>
              <w:rPr>
                <w:rFonts w:hint="eastAsia" w:ascii="Arial" w:hAnsi="Arial" w:cs="Arial"/>
                <w:color w:val="000000" w:themeColor="text1"/>
                <w:kern w:val="0"/>
                <w:szCs w:val="21"/>
                <w:vertAlign w:val="baseline"/>
                <w14:textFill>
                  <w14:solidFill>
                    <w14:schemeClr w14:val="tx1"/>
                  </w14:solidFill>
                </w14:textFill>
              </w:rPr>
            </w:pPr>
            <w:r>
              <w:rPr>
                <w:rFonts w:hint="eastAsia" w:ascii="宋体" w:hAnsi="宋体" w:eastAsia="宋体" w:cs="宋体"/>
                <w:i w:val="0"/>
                <w:color w:val="000000"/>
                <w:kern w:val="0"/>
                <w:sz w:val="22"/>
                <w:szCs w:val="22"/>
                <w:u w:val="none"/>
                <w:lang w:val="en-US" w:eastAsia="zh-CN" w:bidi="ar"/>
              </w:rPr>
              <w:t>间接投资工具，主要投向股票、债券等有价证券</w:t>
            </w:r>
          </w:p>
        </w:tc>
        <w:tc>
          <w:tcPr>
            <w:tcW w:w="1644" w:type="dxa"/>
            <w:vAlign w:val="center"/>
          </w:tcPr>
          <w:p>
            <w:pPr>
              <w:keepNext w:val="0"/>
              <w:keepLines w:val="0"/>
              <w:widowControl/>
              <w:suppressLineNumbers w:val="0"/>
              <w:jc w:val="left"/>
              <w:textAlignment w:val="center"/>
              <w:rPr>
                <w:rFonts w:hint="eastAsia" w:ascii="Arial" w:hAnsi="Arial" w:cs="Arial"/>
                <w:color w:val="000000" w:themeColor="text1"/>
                <w:kern w:val="0"/>
                <w:szCs w:val="21"/>
                <w:vertAlign w:val="baseline"/>
                <w14:textFill>
                  <w14:solidFill>
                    <w14:schemeClr w14:val="tx1"/>
                  </w14:solidFill>
                </w14:textFill>
              </w:rPr>
            </w:pPr>
            <w:r>
              <w:rPr>
                <w:rFonts w:hint="eastAsia" w:ascii="宋体" w:hAnsi="宋体" w:eastAsia="宋体" w:cs="宋体"/>
                <w:i w:val="0"/>
                <w:color w:val="000000"/>
                <w:kern w:val="0"/>
                <w:sz w:val="22"/>
                <w:szCs w:val="22"/>
                <w:u w:val="none"/>
                <w:lang w:val="en-US" w:eastAsia="zh-CN" w:bidi="ar"/>
              </w:rPr>
              <w:t>直接投资工具，主要投向实业领域</w:t>
            </w:r>
          </w:p>
        </w:tc>
        <w:tc>
          <w:tcPr>
            <w:tcW w:w="1519" w:type="dxa"/>
            <w:vAlign w:val="center"/>
          </w:tcPr>
          <w:p>
            <w:pPr>
              <w:keepNext w:val="0"/>
              <w:keepLines w:val="0"/>
              <w:widowControl/>
              <w:suppressLineNumbers w:val="0"/>
              <w:jc w:val="left"/>
              <w:textAlignment w:val="center"/>
              <w:rPr>
                <w:rFonts w:hint="eastAsia" w:ascii="Arial" w:hAnsi="Arial" w:cs="Arial"/>
                <w:color w:val="000000" w:themeColor="text1"/>
                <w:kern w:val="0"/>
                <w:szCs w:val="21"/>
                <w:vertAlign w:val="baseline"/>
                <w14:textFill>
                  <w14:solidFill>
                    <w14:schemeClr w14:val="tx1"/>
                  </w14:solidFill>
                </w14:textFill>
              </w:rPr>
            </w:pPr>
            <w:r>
              <w:rPr>
                <w:rFonts w:hint="eastAsia" w:ascii="宋体" w:hAnsi="宋体" w:eastAsia="宋体" w:cs="宋体"/>
                <w:i w:val="0"/>
                <w:color w:val="000000"/>
                <w:kern w:val="0"/>
                <w:sz w:val="22"/>
                <w:szCs w:val="22"/>
                <w:u w:val="none"/>
                <w:lang w:val="en-US" w:eastAsia="zh-CN" w:bidi="ar"/>
              </w:rPr>
              <w:t>直接投资工具，主要投向实业领域</w:t>
            </w:r>
          </w:p>
        </w:tc>
        <w:tc>
          <w:tcPr>
            <w:tcW w:w="1705" w:type="dxa"/>
            <w:vAlign w:val="center"/>
          </w:tcPr>
          <w:p>
            <w:pPr>
              <w:keepNext w:val="0"/>
              <w:keepLines w:val="0"/>
              <w:widowControl/>
              <w:suppressLineNumbers w:val="0"/>
              <w:jc w:val="left"/>
              <w:textAlignment w:val="center"/>
              <w:rPr>
                <w:rFonts w:hint="eastAsia" w:ascii="Arial" w:hAnsi="Arial" w:cs="Arial"/>
                <w:color w:val="000000" w:themeColor="text1"/>
                <w:kern w:val="0"/>
                <w:szCs w:val="21"/>
                <w:vertAlign w:val="baseline"/>
                <w14:textFill>
                  <w14:solidFill>
                    <w14:schemeClr w14:val="tx1"/>
                  </w14:solidFill>
                </w14:textFill>
              </w:rPr>
            </w:pPr>
            <w:r>
              <w:rPr>
                <w:rFonts w:hint="eastAsia" w:ascii="宋体" w:hAnsi="宋体" w:eastAsia="宋体" w:cs="宋体"/>
                <w:i w:val="0"/>
                <w:color w:val="000000"/>
                <w:kern w:val="0"/>
                <w:sz w:val="22"/>
                <w:szCs w:val="22"/>
                <w:u w:val="none"/>
                <w:lang w:val="en-US" w:eastAsia="zh-CN" w:bidi="ar"/>
              </w:rPr>
              <w:t>间接投资工具，银行负责资金用途和投向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98" w:type="dxa"/>
            <w:vAlign w:val="center"/>
          </w:tcPr>
          <w:p>
            <w:pPr>
              <w:keepNext w:val="0"/>
              <w:keepLines w:val="0"/>
              <w:widowControl/>
              <w:suppressLineNumbers w:val="0"/>
              <w:jc w:val="left"/>
              <w:textAlignment w:val="center"/>
              <w:rPr>
                <w:rFonts w:hint="eastAsia" w:ascii="Arial" w:hAnsi="Arial" w:cs="Arial"/>
                <w:color w:val="000000" w:themeColor="text1"/>
                <w:kern w:val="0"/>
                <w:szCs w:val="21"/>
                <w:vertAlign w:val="baseline"/>
                <w14:textFill>
                  <w14:solidFill>
                    <w14:schemeClr w14:val="tx1"/>
                  </w14:solidFill>
                </w14:textFill>
              </w:rPr>
            </w:pPr>
            <w:r>
              <w:rPr>
                <w:rFonts w:hint="eastAsia" w:ascii="宋体" w:hAnsi="宋体" w:eastAsia="宋体" w:cs="宋体"/>
                <w:i w:val="0"/>
                <w:color w:val="000000"/>
                <w:kern w:val="0"/>
                <w:sz w:val="22"/>
                <w:szCs w:val="22"/>
                <w:u w:val="none"/>
                <w:lang w:val="en-US" w:eastAsia="zh-CN" w:bidi="ar"/>
              </w:rPr>
              <w:t>投资收益与风险大小不同</w:t>
            </w:r>
          </w:p>
        </w:tc>
        <w:tc>
          <w:tcPr>
            <w:tcW w:w="2556" w:type="dxa"/>
            <w:vAlign w:val="center"/>
          </w:tcPr>
          <w:p>
            <w:pPr>
              <w:keepNext w:val="0"/>
              <w:keepLines w:val="0"/>
              <w:widowControl/>
              <w:suppressLineNumbers w:val="0"/>
              <w:jc w:val="left"/>
              <w:textAlignment w:val="center"/>
              <w:rPr>
                <w:rFonts w:hint="eastAsia" w:ascii="Arial" w:hAnsi="Arial" w:cs="Arial"/>
                <w:color w:val="000000" w:themeColor="text1"/>
                <w:kern w:val="0"/>
                <w:szCs w:val="21"/>
                <w:vertAlign w:val="baseline"/>
                <w14:textFill>
                  <w14:solidFill>
                    <w14:schemeClr w14:val="tx1"/>
                  </w14:solidFill>
                </w14:textFill>
              </w:rPr>
            </w:pPr>
            <w:r>
              <w:rPr>
                <w:rFonts w:hint="eastAsia" w:ascii="宋体" w:hAnsi="宋体" w:eastAsia="宋体" w:cs="宋体"/>
                <w:i w:val="0"/>
                <w:color w:val="000000"/>
                <w:kern w:val="0"/>
                <w:sz w:val="22"/>
                <w:szCs w:val="22"/>
                <w:u w:val="none"/>
                <w:lang w:val="en-US" w:eastAsia="zh-CN" w:bidi="ar"/>
              </w:rPr>
              <w:t>投资于众多有价证券，能有效分散风险，风险相对适中，收益相对稳健</w:t>
            </w:r>
          </w:p>
        </w:tc>
        <w:tc>
          <w:tcPr>
            <w:tcW w:w="1644" w:type="dxa"/>
            <w:vAlign w:val="center"/>
          </w:tcPr>
          <w:p>
            <w:pPr>
              <w:keepNext w:val="0"/>
              <w:keepLines w:val="0"/>
              <w:widowControl/>
              <w:suppressLineNumbers w:val="0"/>
              <w:jc w:val="left"/>
              <w:textAlignment w:val="center"/>
              <w:rPr>
                <w:rFonts w:hint="eastAsia" w:ascii="Arial" w:hAnsi="Arial" w:cs="Arial"/>
                <w:color w:val="000000" w:themeColor="text1"/>
                <w:kern w:val="0"/>
                <w:szCs w:val="21"/>
                <w:vertAlign w:val="baseline"/>
                <w14:textFill>
                  <w14:solidFill>
                    <w14:schemeClr w14:val="tx1"/>
                  </w14:solidFill>
                </w14:textFill>
              </w:rPr>
            </w:pPr>
            <w:r>
              <w:rPr>
                <w:rFonts w:hint="eastAsia" w:ascii="宋体" w:hAnsi="宋体" w:eastAsia="宋体" w:cs="宋体"/>
                <w:i w:val="0"/>
                <w:color w:val="000000"/>
                <w:kern w:val="0"/>
                <w:sz w:val="22"/>
                <w:szCs w:val="22"/>
                <w:u w:val="none"/>
                <w:lang w:val="en-US" w:eastAsia="zh-CN" w:bidi="ar"/>
              </w:rPr>
              <w:t>价格波动性大，高风险、高收益</w:t>
            </w:r>
          </w:p>
        </w:tc>
        <w:tc>
          <w:tcPr>
            <w:tcW w:w="1519" w:type="dxa"/>
            <w:vAlign w:val="center"/>
          </w:tcPr>
          <w:p>
            <w:pPr>
              <w:keepNext w:val="0"/>
              <w:keepLines w:val="0"/>
              <w:widowControl/>
              <w:suppressLineNumbers w:val="0"/>
              <w:jc w:val="left"/>
              <w:textAlignment w:val="center"/>
              <w:rPr>
                <w:rFonts w:hint="eastAsia" w:ascii="Arial" w:hAnsi="Arial" w:cs="Arial"/>
                <w:color w:val="000000" w:themeColor="text1"/>
                <w:kern w:val="0"/>
                <w:szCs w:val="21"/>
                <w:vertAlign w:val="baseline"/>
                <w14:textFill>
                  <w14:solidFill>
                    <w14:schemeClr w14:val="tx1"/>
                  </w14:solidFill>
                </w14:textFill>
              </w:rPr>
            </w:pPr>
            <w:r>
              <w:rPr>
                <w:rFonts w:hint="eastAsia" w:ascii="宋体" w:hAnsi="宋体" w:eastAsia="宋体" w:cs="宋体"/>
                <w:i w:val="0"/>
                <w:color w:val="000000"/>
                <w:kern w:val="0"/>
                <w:sz w:val="22"/>
                <w:szCs w:val="22"/>
                <w:u w:val="none"/>
                <w:lang w:val="en-US" w:eastAsia="zh-CN" w:bidi="ar"/>
              </w:rPr>
              <w:t>价格波动较股票小，低风险、低收益</w:t>
            </w:r>
          </w:p>
        </w:tc>
        <w:tc>
          <w:tcPr>
            <w:tcW w:w="1705" w:type="dxa"/>
            <w:vAlign w:val="center"/>
          </w:tcPr>
          <w:p>
            <w:pPr>
              <w:keepNext w:val="0"/>
              <w:keepLines w:val="0"/>
              <w:widowControl/>
              <w:suppressLineNumbers w:val="0"/>
              <w:jc w:val="left"/>
              <w:textAlignment w:val="center"/>
              <w:rPr>
                <w:rFonts w:hint="eastAsia" w:ascii="Arial" w:hAnsi="Arial" w:cs="Arial"/>
                <w:color w:val="000000" w:themeColor="text1"/>
                <w:kern w:val="0"/>
                <w:szCs w:val="21"/>
                <w:vertAlign w:val="baseline"/>
                <w14:textFill>
                  <w14:solidFill>
                    <w14:schemeClr w14:val="tx1"/>
                  </w14:solidFill>
                </w14:textFill>
              </w:rPr>
            </w:pPr>
            <w:r>
              <w:rPr>
                <w:rFonts w:hint="eastAsia" w:ascii="宋体" w:hAnsi="宋体" w:eastAsia="宋体" w:cs="宋体"/>
                <w:i w:val="0"/>
                <w:color w:val="000000"/>
                <w:kern w:val="0"/>
                <w:sz w:val="22"/>
                <w:szCs w:val="22"/>
                <w:u w:val="none"/>
                <w:lang w:val="en-US" w:eastAsia="zh-CN" w:bidi="ar"/>
              </w:rPr>
              <w:t>银行存款利率相对固定，损失本金的可能性很小，投资比较安全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98" w:type="dxa"/>
            <w:vAlign w:val="center"/>
          </w:tcPr>
          <w:p>
            <w:pPr>
              <w:keepNext w:val="0"/>
              <w:keepLines w:val="0"/>
              <w:widowControl/>
              <w:suppressLineNumbers w:val="0"/>
              <w:jc w:val="left"/>
              <w:textAlignment w:val="center"/>
              <w:rPr>
                <w:rFonts w:hint="eastAsia" w:ascii="Arial" w:hAnsi="Arial" w:cs="Arial"/>
                <w:color w:val="000000" w:themeColor="text1"/>
                <w:kern w:val="0"/>
                <w:szCs w:val="21"/>
                <w:vertAlign w:val="baseline"/>
                <w14:textFill>
                  <w14:solidFill>
                    <w14:schemeClr w14:val="tx1"/>
                  </w14:solidFill>
                </w14:textFill>
              </w:rPr>
            </w:pPr>
            <w:r>
              <w:rPr>
                <w:rFonts w:hint="eastAsia" w:ascii="宋体" w:hAnsi="宋体" w:eastAsia="宋体" w:cs="宋体"/>
                <w:i w:val="0"/>
                <w:color w:val="000000"/>
                <w:kern w:val="0"/>
                <w:sz w:val="22"/>
                <w:szCs w:val="22"/>
                <w:u w:val="none"/>
                <w:lang w:val="en-US" w:eastAsia="zh-CN" w:bidi="ar"/>
              </w:rPr>
              <w:t>收益来源</w:t>
            </w:r>
          </w:p>
        </w:tc>
        <w:tc>
          <w:tcPr>
            <w:tcW w:w="2556" w:type="dxa"/>
            <w:vAlign w:val="center"/>
          </w:tcPr>
          <w:p>
            <w:pPr>
              <w:keepNext w:val="0"/>
              <w:keepLines w:val="0"/>
              <w:widowControl/>
              <w:suppressLineNumbers w:val="0"/>
              <w:jc w:val="left"/>
              <w:textAlignment w:val="center"/>
              <w:rPr>
                <w:rFonts w:hint="eastAsia" w:ascii="Arial" w:hAnsi="Arial" w:cs="Arial"/>
                <w:color w:val="000000" w:themeColor="text1"/>
                <w:kern w:val="0"/>
                <w:szCs w:val="21"/>
                <w:vertAlign w:val="baseline"/>
                <w14:textFill>
                  <w14:solidFill>
                    <w14:schemeClr w14:val="tx1"/>
                  </w14:solidFill>
                </w14:textFill>
              </w:rPr>
            </w:pPr>
            <w:r>
              <w:rPr>
                <w:rFonts w:hint="eastAsia" w:ascii="宋体" w:hAnsi="宋体" w:eastAsia="宋体" w:cs="宋体"/>
                <w:i w:val="0"/>
                <w:color w:val="000000"/>
                <w:kern w:val="0"/>
                <w:sz w:val="22"/>
                <w:szCs w:val="22"/>
                <w:u w:val="none"/>
                <w:lang w:val="en-US" w:eastAsia="zh-CN" w:bidi="ar"/>
              </w:rPr>
              <w:t>利息收入、股利收入、资本利得</w:t>
            </w:r>
          </w:p>
        </w:tc>
        <w:tc>
          <w:tcPr>
            <w:tcW w:w="1644" w:type="dxa"/>
            <w:vAlign w:val="center"/>
          </w:tcPr>
          <w:p>
            <w:pPr>
              <w:keepNext w:val="0"/>
              <w:keepLines w:val="0"/>
              <w:widowControl/>
              <w:suppressLineNumbers w:val="0"/>
              <w:jc w:val="left"/>
              <w:textAlignment w:val="center"/>
              <w:rPr>
                <w:rFonts w:hint="eastAsia" w:ascii="Arial" w:hAnsi="Arial" w:cs="Arial"/>
                <w:color w:val="000000" w:themeColor="text1"/>
                <w:kern w:val="0"/>
                <w:szCs w:val="21"/>
                <w:vertAlign w:val="baseline"/>
                <w14:textFill>
                  <w14:solidFill>
                    <w14:schemeClr w14:val="tx1"/>
                  </w14:solidFill>
                </w14:textFill>
              </w:rPr>
            </w:pPr>
            <w:r>
              <w:rPr>
                <w:rFonts w:hint="eastAsia" w:ascii="宋体" w:hAnsi="宋体" w:eastAsia="宋体" w:cs="宋体"/>
                <w:i w:val="0"/>
                <w:color w:val="000000"/>
                <w:kern w:val="0"/>
                <w:sz w:val="22"/>
                <w:szCs w:val="22"/>
                <w:u w:val="none"/>
                <w:lang w:val="en-US" w:eastAsia="zh-CN" w:bidi="ar"/>
              </w:rPr>
              <w:t>股利收入、资本利得</w:t>
            </w:r>
          </w:p>
        </w:tc>
        <w:tc>
          <w:tcPr>
            <w:tcW w:w="1519" w:type="dxa"/>
            <w:vAlign w:val="center"/>
          </w:tcPr>
          <w:p>
            <w:pPr>
              <w:keepNext w:val="0"/>
              <w:keepLines w:val="0"/>
              <w:widowControl/>
              <w:suppressLineNumbers w:val="0"/>
              <w:jc w:val="left"/>
              <w:textAlignment w:val="center"/>
              <w:rPr>
                <w:rFonts w:hint="eastAsia" w:ascii="Arial" w:hAnsi="Arial" w:cs="Arial"/>
                <w:color w:val="000000" w:themeColor="text1"/>
                <w:kern w:val="0"/>
                <w:szCs w:val="21"/>
                <w:vertAlign w:val="baseline"/>
                <w14:textFill>
                  <w14:solidFill>
                    <w14:schemeClr w14:val="tx1"/>
                  </w14:solidFill>
                </w14:textFill>
              </w:rPr>
            </w:pPr>
            <w:r>
              <w:rPr>
                <w:rFonts w:hint="eastAsia" w:ascii="宋体" w:hAnsi="宋体" w:eastAsia="宋体" w:cs="宋体"/>
                <w:i w:val="0"/>
                <w:color w:val="000000"/>
                <w:kern w:val="0"/>
                <w:sz w:val="22"/>
                <w:szCs w:val="22"/>
                <w:u w:val="none"/>
                <w:lang w:val="en-US" w:eastAsia="zh-CN" w:bidi="ar"/>
              </w:rPr>
              <w:t>利息收入、资本利得</w:t>
            </w:r>
          </w:p>
        </w:tc>
        <w:tc>
          <w:tcPr>
            <w:tcW w:w="1705" w:type="dxa"/>
            <w:vAlign w:val="center"/>
          </w:tcPr>
          <w:p>
            <w:pPr>
              <w:keepNext w:val="0"/>
              <w:keepLines w:val="0"/>
              <w:widowControl/>
              <w:suppressLineNumbers w:val="0"/>
              <w:jc w:val="left"/>
              <w:textAlignment w:val="center"/>
              <w:rPr>
                <w:rFonts w:hint="eastAsia" w:ascii="Arial" w:hAnsi="Arial" w:cs="Arial"/>
                <w:color w:val="000000" w:themeColor="text1"/>
                <w:kern w:val="0"/>
                <w:szCs w:val="21"/>
                <w:vertAlign w:val="baseline"/>
                <w14:textFill>
                  <w14:solidFill>
                    <w14:schemeClr w14:val="tx1"/>
                  </w14:solidFill>
                </w14:textFill>
              </w:rPr>
            </w:pPr>
            <w:r>
              <w:rPr>
                <w:rFonts w:hint="eastAsia" w:ascii="宋体" w:hAnsi="宋体" w:eastAsia="宋体" w:cs="宋体"/>
                <w:i w:val="0"/>
                <w:color w:val="000000"/>
                <w:kern w:val="0"/>
                <w:sz w:val="22"/>
                <w:szCs w:val="22"/>
                <w:u w:val="none"/>
                <w:lang w:val="en-US" w:eastAsia="zh-CN" w:bidi="ar"/>
              </w:rPr>
              <w:t>利息收入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98" w:type="dxa"/>
            <w:vAlign w:val="center"/>
          </w:tcPr>
          <w:p>
            <w:pPr>
              <w:keepNext w:val="0"/>
              <w:keepLines w:val="0"/>
              <w:widowControl/>
              <w:suppressLineNumbers w:val="0"/>
              <w:jc w:val="left"/>
              <w:textAlignment w:val="center"/>
              <w:rPr>
                <w:rFonts w:hint="eastAsia" w:ascii="Arial" w:hAnsi="Arial" w:cs="Arial"/>
                <w:color w:val="000000" w:themeColor="text1"/>
                <w:kern w:val="0"/>
                <w:szCs w:val="21"/>
                <w:vertAlign w:val="baseline"/>
                <w14:textFill>
                  <w14:solidFill>
                    <w14:schemeClr w14:val="tx1"/>
                  </w14:solidFill>
                </w14:textFill>
              </w:rPr>
            </w:pPr>
            <w:r>
              <w:rPr>
                <w:rFonts w:hint="eastAsia" w:ascii="宋体" w:hAnsi="宋体" w:eastAsia="宋体" w:cs="宋体"/>
                <w:i w:val="0"/>
                <w:color w:val="000000"/>
                <w:kern w:val="0"/>
                <w:sz w:val="22"/>
                <w:szCs w:val="22"/>
                <w:u w:val="none"/>
                <w:lang w:val="en-US" w:eastAsia="zh-CN" w:bidi="ar"/>
              </w:rPr>
              <w:t>投资渠道</w:t>
            </w:r>
          </w:p>
        </w:tc>
        <w:tc>
          <w:tcPr>
            <w:tcW w:w="2556" w:type="dxa"/>
            <w:vAlign w:val="center"/>
          </w:tcPr>
          <w:p>
            <w:pPr>
              <w:keepNext w:val="0"/>
              <w:keepLines w:val="0"/>
              <w:widowControl/>
              <w:suppressLineNumbers w:val="0"/>
              <w:jc w:val="left"/>
              <w:textAlignment w:val="center"/>
              <w:rPr>
                <w:rFonts w:hint="eastAsia" w:ascii="Arial" w:hAnsi="Arial" w:cs="Arial"/>
                <w:color w:val="000000" w:themeColor="text1"/>
                <w:kern w:val="0"/>
                <w:szCs w:val="21"/>
                <w:vertAlign w:val="baseline"/>
                <w14:textFill>
                  <w14:solidFill>
                    <w14:schemeClr w14:val="tx1"/>
                  </w14:solidFill>
                </w14:textFill>
              </w:rPr>
            </w:pPr>
            <w:r>
              <w:rPr>
                <w:rFonts w:hint="eastAsia" w:ascii="宋体" w:hAnsi="宋体" w:eastAsia="宋体" w:cs="宋体"/>
                <w:i w:val="0"/>
                <w:color w:val="000000"/>
                <w:kern w:val="0"/>
                <w:sz w:val="22"/>
                <w:szCs w:val="22"/>
                <w:u w:val="none"/>
                <w:lang w:val="en-US" w:eastAsia="zh-CN" w:bidi="ar"/>
              </w:rPr>
              <w:t>基金管理公司及银行、证券公司等代销机构</w:t>
            </w:r>
          </w:p>
        </w:tc>
        <w:tc>
          <w:tcPr>
            <w:tcW w:w="1644" w:type="dxa"/>
            <w:vAlign w:val="center"/>
          </w:tcPr>
          <w:p>
            <w:pPr>
              <w:keepNext w:val="0"/>
              <w:keepLines w:val="0"/>
              <w:widowControl/>
              <w:suppressLineNumbers w:val="0"/>
              <w:jc w:val="left"/>
              <w:textAlignment w:val="center"/>
              <w:rPr>
                <w:rFonts w:hint="eastAsia" w:ascii="Arial" w:hAnsi="Arial" w:cs="Arial"/>
                <w:color w:val="000000" w:themeColor="text1"/>
                <w:kern w:val="0"/>
                <w:szCs w:val="21"/>
                <w:vertAlign w:val="baseline"/>
                <w14:textFill>
                  <w14:solidFill>
                    <w14:schemeClr w14:val="tx1"/>
                  </w14:solidFill>
                </w14:textFill>
              </w:rPr>
            </w:pPr>
            <w:r>
              <w:rPr>
                <w:rFonts w:hint="eastAsia" w:ascii="宋体" w:hAnsi="宋体" w:eastAsia="宋体" w:cs="宋体"/>
                <w:i w:val="0"/>
                <w:color w:val="000000"/>
                <w:kern w:val="0"/>
                <w:sz w:val="22"/>
                <w:szCs w:val="22"/>
                <w:u w:val="none"/>
                <w:lang w:val="en-US" w:eastAsia="zh-CN" w:bidi="ar"/>
              </w:rPr>
              <w:t>证券公司</w:t>
            </w:r>
          </w:p>
        </w:tc>
        <w:tc>
          <w:tcPr>
            <w:tcW w:w="1519" w:type="dxa"/>
            <w:vAlign w:val="center"/>
          </w:tcPr>
          <w:p>
            <w:pPr>
              <w:keepNext w:val="0"/>
              <w:keepLines w:val="0"/>
              <w:widowControl/>
              <w:suppressLineNumbers w:val="0"/>
              <w:jc w:val="left"/>
              <w:textAlignment w:val="center"/>
              <w:rPr>
                <w:rFonts w:hint="eastAsia" w:ascii="Arial" w:hAnsi="Arial" w:cs="Arial"/>
                <w:color w:val="000000" w:themeColor="text1"/>
                <w:kern w:val="0"/>
                <w:szCs w:val="21"/>
                <w:vertAlign w:val="baseline"/>
                <w14:textFill>
                  <w14:solidFill>
                    <w14:schemeClr w14:val="tx1"/>
                  </w14:solidFill>
                </w14:textFill>
              </w:rPr>
            </w:pPr>
            <w:r>
              <w:rPr>
                <w:rFonts w:hint="eastAsia" w:ascii="宋体" w:hAnsi="宋体" w:eastAsia="宋体" w:cs="宋体"/>
                <w:i w:val="0"/>
                <w:color w:val="000000"/>
                <w:kern w:val="0"/>
                <w:sz w:val="22"/>
                <w:szCs w:val="22"/>
                <w:u w:val="none"/>
                <w:lang w:val="en-US" w:eastAsia="zh-CN" w:bidi="ar"/>
              </w:rPr>
              <w:t>债券发行机构、证券公司及银行等代销机构</w:t>
            </w:r>
          </w:p>
        </w:tc>
        <w:tc>
          <w:tcPr>
            <w:tcW w:w="1705" w:type="dxa"/>
            <w:vAlign w:val="center"/>
          </w:tcPr>
          <w:p>
            <w:pPr>
              <w:keepNext w:val="0"/>
              <w:keepLines w:val="0"/>
              <w:widowControl/>
              <w:suppressLineNumbers w:val="0"/>
              <w:jc w:val="left"/>
              <w:textAlignment w:val="center"/>
              <w:rPr>
                <w:rFonts w:hint="eastAsia" w:ascii="Arial" w:hAnsi="Arial" w:cs="Arial"/>
                <w:color w:val="000000" w:themeColor="text1"/>
                <w:kern w:val="0"/>
                <w:szCs w:val="21"/>
                <w:vertAlign w:val="baseline"/>
                <w14:textFill>
                  <w14:solidFill>
                    <w14:schemeClr w14:val="tx1"/>
                  </w14:solidFill>
                </w14:textFill>
              </w:rPr>
            </w:pPr>
            <w:r>
              <w:rPr>
                <w:rFonts w:hint="eastAsia" w:ascii="宋体" w:hAnsi="宋体" w:eastAsia="宋体" w:cs="宋体"/>
                <w:i w:val="0"/>
                <w:color w:val="000000"/>
                <w:kern w:val="0"/>
                <w:sz w:val="22"/>
                <w:szCs w:val="22"/>
                <w:u w:val="none"/>
                <w:lang w:val="en-US" w:eastAsia="zh-CN" w:bidi="ar"/>
              </w:rPr>
              <w:t>银行、信用社、邮政储蓄银行</w:t>
            </w:r>
          </w:p>
        </w:tc>
      </w:tr>
    </w:tbl>
    <w:p>
      <w:pPr>
        <w:widowControl/>
        <w:numPr>
          <w:ilvl w:val="0"/>
          <w:numId w:val="0"/>
        </w:numPr>
        <w:spacing w:before="240" w:line="405" w:lineRule="atLeast"/>
        <w:ind w:left="420" w:leftChars="0"/>
        <w:jc w:val="left"/>
        <w:rPr>
          <w:rFonts w:hint="eastAsia" w:ascii="Arial" w:hAnsi="Arial" w:cs="Arial"/>
          <w:color w:val="000000" w:themeColor="text1"/>
          <w:kern w:val="0"/>
          <w:szCs w:val="21"/>
          <w14:textFill>
            <w14:solidFill>
              <w14:schemeClr w14:val="tx1"/>
            </w14:solidFill>
          </w14:textFill>
        </w:rPr>
      </w:pPr>
    </w:p>
    <w:p>
      <w:pPr>
        <w:widowControl/>
        <w:spacing w:before="240" w:line="405" w:lineRule="atLeast"/>
        <w:jc w:val="center"/>
        <w:rPr>
          <w:rFonts w:ascii="Arial" w:hAnsi="Arial" w:cs="Arial"/>
          <w:color w:val="000000" w:themeColor="text1"/>
          <w:kern w:val="0"/>
          <w:szCs w:val="21"/>
          <w14:textFill>
            <w14:solidFill>
              <w14:schemeClr w14:val="tx1"/>
            </w14:solidFill>
          </w14:textFill>
        </w:rPr>
      </w:pPr>
    </w:p>
    <w:p>
      <w:pPr>
        <w:widowControl/>
        <w:spacing w:before="240" w:line="405" w:lineRule="atLeast"/>
        <w:jc w:val="left"/>
        <w:rPr>
          <w:rFonts w:ascii="Arial" w:hAnsi="Arial" w:cs="Arial"/>
          <w:color w:val="000000" w:themeColor="text1"/>
          <w:kern w:val="0"/>
          <w:szCs w:val="21"/>
          <w14:textFill>
            <w14:solidFill>
              <w14:schemeClr w14:val="tx1"/>
            </w14:solidFill>
          </w14:textFill>
        </w:rPr>
      </w:pPr>
      <w:r>
        <w:rPr>
          <w:rFonts w:hint="eastAsia" w:ascii="Arial" w:hAnsi="Arial" w:cs="Arial"/>
          <w:color w:val="000000" w:themeColor="text1"/>
          <w:kern w:val="0"/>
          <w:szCs w:val="21"/>
          <w14:textFill>
            <w14:solidFill>
              <w14:schemeClr w14:val="tx1"/>
            </w14:solidFill>
          </w14:textFill>
        </w:rPr>
        <w:t>　　（三）基金的分类</w:t>
      </w:r>
    </w:p>
    <w:p>
      <w:pPr>
        <w:widowControl/>
        <w:spacing w:before="240" w:line="405" w:lineRule="atLeast"/>
        <w:jc w:val="left"/>
        <w:rPr>
          <w:rFonts w:ascii="Arial" w:hAnsi="Arial" w:cs="Arial"/>
          <w:color w:val="000000" w:themeColor="text1"/>
          <w:kern w:val="0"/>
          <w:szCs w:val="21"/>
          <w14:textFill>
            <w14:solidFill>
              <w14:schemeClr w14:val="tx1"/>
            </w14:solidFill>
          </w14:textFill>
        </w:rPr>
      </w:pPr>
      <w:r>
        <w:rPr>
          <w:rFonts w:hint="eastAsia" w:ascii="Arial" w:hAnsi="Arial" w:cs="Arial"/>
          <w:color w:val="000000" w:themeColor="text1"/>
          <w:kern w:val="0"/>
          <w:szCs w:val="21"/>
          <w14:textFill>
            <w14:solidFill>
              <w14:schemeClr w14:val="tx1"/>
            </w14:solidFill>
          </w14:textFill>
        </w:rPr>
        <w:t>　　</w:t>
      </w:r>
      <w:r>
        <w:rPr>
          <w:rFonts w:ascii="Arial" w:hAnsi="Arial" w:cs="Arial"/>
          <w:color w:val="000000" w:themeColor="text1"/>
          <w:kern w:val="0"/>
          <w:szCs w:val="21"/>
          <w14:textFill>
            <w14:solidFill>
              <w14:schemeClr w14:val="tx1"/>
            </w14:solidFill>
          </w14:textFill>
        </w:rPr>
        <w:t>1</w:t>
      </w:r>
      <w:r>
        <w:rPr>
          <w:rFonts w:hint="eastAsia" w:ascii="Arial" w:hAnsi="Arial" w:cs="Arial"/>
          <w:color w:val="000000" w:themeColor="text1"/>
          <w:kern w:val="0"/>
          <w:szCs w:val="21"/>
          <w14:textFill>
            <w14:solidFill>
              <w14:schemeClr w14:val="tx1"/>
            </w14:solidFill>
          </w14:textFill>
        </w:rPr>
        <w:t>、依据运作方式的不同，可分为封闭式基金与开放式基金。</w:t>
      </w:r>
    </w:p>
    <w:p>
      <w:pPr>
        <w:widowControl/>
        <w:spacing w:before="240" w:line="405" w:lineRule="atLeast"/>
        <w:jc w:val="left"/>
        <w:rPr>
          <w:rFonts w:ascii="Arial" w:hAnsi="Arial" w:cs="Arial"/>
          <w:color w:val="000000" w:themeColor="text1"/>
          <w:kern w:val="0"/>
          <w:szCs w:val="21"/>
          <w14:textFill>
            <w14:solidFill>
              <w14:schemeClr w14:val="tx1"/>
            </w14:solidFill>
          </w14:textFill>
        </w:rPr>
      </w:pPr>
      <w:r>
        <w:rPr>
          <w:rFonts w:hint="eastAsia" w:ascii="Arial" w:hAnsi="Arial" w:cs="Arial"/>
          <w:color w:val="000000" w:themeColor="text1"/>
          <w:kern w:val="0"/>
          <w:szCs w:val="21"/>
          <w14:textFill>
            <w14:solidFill>
              <w14:schemeClr w14:val="tx1"/>
            </w14:solidFill>
          </w14:textFill>
        </w:rPr>
        <w:t>　　封闭式基金是指基金份额在基金合同期限内固定不变，基金份额可以在依法设立的证券交易所交易，但基金份额持有人</w:t>
      </w:r>
      <w:r>
        <w:rPr>
          <w:rFonts w:hint="eastAsia" w:ascii="Arial" w:hAnsi="Arial" w:cs="Arial"/>
          <w:b/>
          <w:bCs/>
          <w:color w:val="000000" w:themeColor="text1"/>
          <w:kern w:val="0"/>
          <w:szCs w:val="21"/>
          <w14:textFill>
            <w14:solidFill>
              <w14:schemeClr w14:val="tx1"/>
            </w14:solidFill>
          </w14:textFill>
        </w:rPr>
        <w:t>不得</w:t>
      </w:r>
      <w:r>
        <w:rPr>
          <w:rFonts w:hint="eastAsia" w:ascii="Arial" w:hAnsi="Arial" w:cs="Arial"/>
          <w:color w:val="000000" w:themeColor="text1"/>
          <w:kern w:val="0"/>
          <w:szCs w:val="21"/>
          <w14:textFill>
            <w14:solidFill>
              <w14:schemeClr w14:val="tx1"/>
            </w14:solidFill>
          </w14:textFill>
        </w:rPr>
        <w:t>申请赎回的一种基金运作方式。</w:t>
      </w:r>
    </w:p>
    <w:p>
      <w:pPr>
        <w:widowControl/>
        <w:spacing w:before="240" w:line="405" w:lineRule="atLeast"/>
        <w:jc w:val="left"/>
        <w:rPr>
          <w:rFonts w:ascii="Arial" w:hAnsi="Arial" w:cs="Arial"/>
          <w:color w:val="000000" w:themeColor="text1"/>
          <w:kern w:val="0"/>
          <w:szCs w:val="21"/>
          <w14:textFill>
            <w14:solidFill>
              <w14:schemeClr w14:val="tx1"/>
            </w14:solidFill>
          </w14:textFill>
        </w:rPr>
      </w:pPr>
      <w:r>
        <w:rPr>
          <w:rFonts w:hint="eastAsia" w:ascii="Arial" w:hAnsi="Arial" w:cs="Arial"/>
          <w:color w:val="000000" w:themeColor="text1"/>
          <w:kern w:val="0"/>
          <w:szCs w:val="21"/>
          <w14:textFill>
            <w14:solidFill>
              <w14:schemeClr w14:val="tx1"/>
            </w14:solidFill>
          </w14:textFill>
        </w:rPr>
        <w:t>　　开放式基金是指</w:t>
      </w:r>
      <w:r>
        <w:rPr>
          <w:rFonts w:hint="eastAsia" w:ascii="Arial" w:hAnsi="Arial" w:cs="Arial"/>
          <w:b/>
          <w:bCs/>
          <w:color w:val="000000" w:themeColor="text1"/>
          <w:kern w:val="0"/>
          <w:szCs w:val="21"/>
          <w14:textFill>
            <w14:solidFill>
              <w14:schemeClr w14:val="tx1"/>
            </w14:solidFill>
          </w14:textFill>
        </w:rPr>
        <w:t>基金份额不固定</w:t>
      </w:r>
      <w:r>
        <w:rPr>
          <w:rFonts w:hint="eastAsia" w:ascii="Arial" w:hAnsi="Arial" w:cs="Arial"/>
          <w:color w:val="000000" w:themeColor="text1"/>
          <w:kern w:val="0"/>
          <w:szCs w:val="21"/>
          <w14:textFill>
            <w14:solidFill>
              <w14:schemeClr w14:val="tx1"/>
            </w14:solidFill>
          </w14:textFill>
        </w:rPr>
        <w:t>，基金份额可以在基金合同约定的时间和场所进行申购和赎回的一种基金运作方式。</w:t>
      </w:r>
    </w:p>
    <w:p>
      <w:pPr>
        <w:widowControl/>
        <w:spacing w:before="240" w:line="405" w:lineRule="atLeast"/>
        <w:jc w:val="left"/>
        <w:rPr>
          <w:rFonts w:ascii="Arial" w:hAnsi="Arial" w:cs="Arial"/>
          <w:color w:val="000000" w:themeColor="text1"/>
          <w:kern w:val="0"/>
          <w:szCs w:val="21"/>
          <w14:textFill>
            <w14:solidFill>
              <w14:schemeClr w14:val="tx1"/>
            </w14:solidFill>
          </w14:textFill>
        </w:rPr>
      </w:pPr>
      <w:r>
        <w:rPr>
          <w:rFonts w:hint="eastAsia" w:ascii="Arial" w:hAnsi="Arial" w:cs="Arial"/>
          <w:color w:val="000000" w:themeColor="text1"/>
          <w:kern w:val="0"/>
          <w:szCs w:val="21"/>
          <w14:textFill>
            <w14:solidFill>
              <w14:schemeClr w14:val="tx1"/>
            </w14:solidFill>
          </w14:textFill>
        </w:rPr>
        <w:t>　　</w:t>
      </w:r>
      <w:r>
        <w:rPr>
          <w:rFonts w:ascii="Arial" w:hAnsi="Arial" w:cs="Arial"/>
          <w:color w:val="000000" w:themeColor="text1"/>
          <w:kern w:val="0"/>
          <w:szCs w:val="21"/>
          <w14:textFill>
            <w14:solidFill>
              <w14:schemeClr w14:val="tx1"/>
            </w14:solidFill>
          </w14:textFill>
        </w:rPr>
        <w:t>2</w:t>
      </w:r>
      <w:r>
        <w:rPr>
          <w:rFonts w:hint="eastAsia" w:ascii="Arial" w:hAnsi="Arial" w:cs="Arial"/>
          <w:color w:val="000000" w:themeColor="text1"/>
          <w:kern w:val="0"/>
          <w:szCs w:val="21"/>
          <w14:textFill>
            <w14:solidFill>
              <w14:schemeClr w14:val="tx1"/>
            </w14:solidFill>
          </w14:textFill>
        </w:rPr>
        <w:t>、依据投资对象的不同，可分为股票基金、债券基金、货币市场基金、混合基金</w:t>
      </w:r>
    </w:p>
    <w:p>
      <w:pPr>
        <w:widowControl/>
        <w:spacing w:before="240" w:line="405" w:lineRule="atLeast"/>
        <w:jc w:val="left"/>
        <w:rPr>
          <w:rFonts w:ascii="Arial" w:hAnsi="Arial" w:cs="Arial"/>
          <w:color w:val="000000" w:themeColor="text1"/>
          <w:kern w:val="0"/>
          <w:szCs w:val="21"/>
          <w14:textFill>
            <w14:solidFill>
              <w14:schemeClr w14:val="tx1"/>
            </w14:solidFill>
          </w14:textFill>
        </w:rPr>
      </w:pPr>
      <w:r>
        <w:rPr>
          <w:rFonts w:hint="eastAsia" w:ascii="Arial" w:hAnsi="Arial" w:cs="Arial"/>
          <w:color w:val="000000" w:themeColor="text1"/>
          <w:kern w:val="0"/>
          <w:szCs w:val="21"/>
          <w14:textFill>
            <w14:solidFill>
              <w14:schemeClr w14:val="tx1"/>
            </w14:solidFill>
          </w14:textFill>
        </w:rPr>
        <w:t>　　根据《公开募集证券投资基金运作管理办法》对基金类别的分类标准，8</w:t>
      </w:r>
      <w:r>
        <w:rPr>
          <w:rFonts w:ascii="Arial" w:hAnsi="Arial" w:cs="Arial"/>
          <w:color w:val="000000" w:themeColor="text1"/>
          <w:kern w:val="0"/>
          <w:szCs w:val="21"/>
          <w14:textFill>
            <w14:solidFill>
              <w14:schemeClr w14:val="tx1"/>
            </w14:solidFill>
          </w14:textFill>
        </w:rPr>
        <w:t>0%</w:t>
      </w:r>
      <w:r>
        <w:rPr>
          <w:rFonts w:hint="eastAsia" w:ascii="Arial" w:hAnsi="Arial" w:cs="Arial"/>
          <w:color w:val="000000" w:themeColor="text1"/>
          <w:kern w:val="0"/>
          <w:szCs w:val="21"/>
          <w14:textFill>
            <w14:solidFill>
              <w14:schemeClr w14:val="tx1"/>
            </w14:solidFill>
          </w14:textFill>
        </w:rPr>
        <w:t>以上的基金资产投资于股票的为股票基金；</w:t>
      </w:r>
      <w:r>
        <w:rPr>
          <w:rFonts w:ascii="Arial" w:hAnsi="Arial" w:cs="Arial"/>
          <w:color w:val="000000" w:themeColor="text1"/>
          <w:kern w:val="0"/>
          <w:szCs w:val="21"/>
          <w14:textFill>
            <w14:solidFill>
              <w14:schemeClr w14:val="tx1"/>
            </w14:solidFill>
          </w14:textFill>
        </w:rPr>
        <w:t>80%</w:t>
      </w:r>
      <w:r>
        <w:rPr>
          <w:rFonts w:hint="eastAsia" w:ascii="Arial" w:hAnsi="Arial" w:cs="Arial"/>
          <w:color w:val="000000" w:themeColor="text1"/>
          <w:kern w:val="0"/>
          <w:szCs w:val="21"/>
          <w14:textFill>
            <w14:solidFill>
              <w14:schemeClr w14:val="tx1"/>
            </w14:solidFill>
          </w14:textFill>
        </w:rPr>
        <w:t>以上的基金资产投资于债券的为债券基金；仅投资于货币市场工具的为货币市场基金；投资于股票、债券和货币市场工具，但股票投资和债券投资的比例不符合股票基金、债券基金规定的为混合基金。这些基金类别按收益和风险由高到低的排列顺序为：股票基金、混合基金、债券基金、货币市场基金，即股票基金的风险和收益最高，货币市场基金的风险和收益最低。</w:t>
      </w:r>
    </w:p>
    <w:p>
      <w:pPr>
        <w:widowControl/>
        <w:spacing w:before="240" w:line="405" w:lineRule="atLeast"/>
        <w:jc w:val="left"/>
        <w:rPr>
          <w:rFonts w:ascii="Arial" w:hAnsi="Arial" w:cs="Arial"/>
          <w:color w:val="000000" w:themeColor="text1"/>
          <w:kern w:val="0"/>
          <w:szCs w:val="21"/>
          <w14:textFill>
            <w14:solidFill>
              <w14:schemeClr w14:val="tx1"/>
            </w14:solidFill>
          </w14:textFill>
        </w:rPr>
      </w:pPr>
      <w:r>
        <w:rPr>
          <w:rFonts w:hint="eastAsia" w:ascii="Arial" w:hAnsi="Arial" w:cs="Arial"/>
          <w:color w:val="000000" w:themeColor="text1"/>
          <w:kern w:val="0"/>
          <w:szCs w:val="21"/>
          <w14:textFill>
            <w14:solidFill>
              <w14:schemeClr w14:val="tx1"/>
            </w14:solidFill>
          </w14:textFill>
        </w:rPr>
        <w:t>　　</w:t>
      </w:r>
      <w:r>
        <w:rPr>
          <w:rFonts w:ascii="Arial" w:hAnsi="Arial" w:cs="Arial"/>
          <w:color w:val="000000" w:themeColor="text1"/>
          <w:kern w:val="0"/>
          <w:szCs w:val="21"/>
          <w14:textFill>
            <w14:solidFill>
              <w14:schemeClr w14:val="tx1"/>
            </w14:solidFill>
          </w14:textFill>
        </w:rPr>
        <w:t>3</w:t>
      </w:r>
      <w:r>
        <w:rPr>
          <w:rFonts w:hint="eastAsia" w:ascii="Arial" w:hAnsi="Arial" w:cs="Arial"/>
          <w:color w:val="000000" w:themeColor="text1"/>
          <w:kern w:val="0"/>
          <w:szCs w:val="21"/>
          <w14:textFill>
            <w14:solidFill>
              <w14:schemeClr w14:val="tx1"/>
            </w14:solidFill>
          </w14:textFill>
        </w:rPr>
        <w:t>、特殊类型基金</w:t>
      </w:r>
    </w:p>
    <w:p>
      <w:pPr>
        <w:widowControl/>
        <w:spacing w:before="240" w:line="405" w:lineRule="atLeast"/>
        <w:jc w:val="left"/>
        <w:rPr>
          <w:rFonts w:ascii="Arial" w:hAnsi="Arial" w:cs="Arial"/>
          <w:color w:val="000000" w:themeColor="text1"/>
          <w:kern w:val="0"/>
          <w:szCs w:val="21"/>
          <w14:textFill>
            <w14:solidFill>
              <w14:schemeClr w14:val="tx1"/>
            </w14:solidFill>
          </w14:textFill>
        </w:rPr>
      </w:pPr>
      <w:r>
        <w:rPr>
          <w:rFonts w:hint="eastAsia" w:ascii="Arial" w:hAnsi="Arial" w:cs="Arial"/>
          <w:color w:val="000000" w:themeColor="text1"/>
          <w:kern w:val="0"/>
          <w:szCs w:val="21"/>
          <w14:textFill>
            <w14:solidFill>
              <w14:schemeClr w14:val="tx1"/>
            </w14:solidFill>
          </w14:textFill>
        </w:rPr>
        <w:t>　　（</w:t>
      </w:r>
      <w:r>
        <w:rPr>
          <w:rFonts w:ascii="Arial" w:hAnsi="Arial" w:cs="Arial"/>
          <w:color w:val="000000" w:themeColor="text1"/>
          <w:kern w:val="0"/>
          <w:szCs w:val="21"/>
          <w14:textFill>
            <w14:solidFill>
              <w14:schemeClr w14:val="tx1"/>
            </w14:solidFill>
          </w14:textFill>
        </w:rPr>
        <w:t>1</w:t>
      </w:r>
      <w:r>
        <w:rPr>
          <w:rFonts w:hint="eastAsia" w:ascii="Arial" w:hAnsi="Arial" w:cs="Arial"/>
          <w:color w:val="000000" w:themeColor="text1"/>
          <w:kern w:val="0"/>
          <w:szCs w:val="21"/>
          <w14:textFill>
            <w14:solidFill>
              <w14:schemeClr w14:val="tx1"/>
            </w14:solidFill>
          </w14:textFill>
        </w:rPr>
        <w:t>）系列基金。又被称为伞型基金，是指多个基金共用一个基金合同</w:t>
      </w:r>
      <w:r>
        <w:rPr>
          <w:rFonts w:ascii="Arial" w:hAnsi="Arial" w:cs="Arial"/>
          <w:color w:val="000000" w:themeColor="text1"/>
          <w:kern w:val="0"/>
          <w:szCs w:val="21"/>
          <w14:textFill>
            <w14:solidFill>
              <w14:schemeClr w14:val="tx1"/>
            </w14:solidFill>
          </w14:textFill>
        </w:rPr>
        <w:t>,</w:t>
      </w:r>
      <w:r>
        <w:rPr>
          <w:rFonts w:hint="eastAsia" w:ascii="Arial" w:hAnsi="Arial" w:cs="Arial"/>
          <w:color w:val="000000" w:themeColor="text1"/>
          <w:kern w:val="0"/>
          <w:szCs w:val="21"/>
          <w14:textFill>
            <w14:solidFill>
              <w14:schemeClr w14:val="tx1"/>
            </w14:solidFill>
          </w14:textFill>
        </w:rPr>
        <w:t>子基金独立运作</w:t>
      </w:r>
      <w:r>
        <w:rPr>
          <w:rFonts w:ascii="Arial" w:hAnsi="Arial" w:cs="Arial"/>
          <w:color w:val="000000" w:themeColor="text1"/>
          <w:kern w:val="0"/>
          <w:szCs w:val="21"/>
          <w14:textFill>
            <w14:solidFill>
              <w14:schemeClr w14:val="tx1"/>
            </w14:solidFill>
          </w14:textFill>
        </w:rPr>
        <w:t>,</w:t>
      </w:r>
      <w:r>
        <w:rPr>
          <w:rFonts w:hint="eastAsia" w:ascii="Arial" w:hAnsi="Arial" w:cs="Arial"/>
          <w:color w:val="000000" w:themeColor="text1"/>
          <w:kern w:val="0"/>
          <w:szCs w:val="21"/>
          <w14:textFill>
            <w14:solidFill>
              <w14:schemeClr w14:val="tx1"/>
            </w14:solidFill>
          </w14:textFill>
        </w:rPr>
        <w:t>子基金之间可以进行相互转换的一种基金结构形式。</w:t>
      </w:r>
    </w:p>
    <w:p>
      <w:pPr>
        <w:widowControl/>
        <w:spacing w:before="240" w:line="405" w:lineRule="atLeast"/>
        <w:jc w:val="left"/>
        <w:rPr>
          <w:rFonts w:ascii="Arial" w:hAnsi="Arial" w:cs="Arial"/>
          <w:color w:val="000000" w:themeColor="text1"/>
          <w:kern w:val="0"/>
          <w:szCs w:val="21"/>
          <w14:textFill>
            <w14:solidFill>
              <w14:schemeClr w14:val="tx1"/>
            </w14:solidFill>
          </w14:textFill>
        </w:rPr>
      </w:pPr>
      <w:r>
        <w:rPr>
          <w:rFonts w:hint="eastAsia" w:ascii="Arial" w:hAnsi="Arial" w:cs="Arial"/>
          <w:color w:val="000000" w:themeColor="text1"/>
          <w:kern w:val="0"/>
          <w:szCs w:val="21"/>
          <w14:textFill>
            <w14:solidFill>
              <w14:schemeClr w14:val="tx1"/>
            </w14:solidFill>
          </w14:textFill>
        </w:rPr>
        <w:t>　　（</w:t>
      </w:r>
      <w:r>
        <w:rPr>
          <w:rFonts w:ascii="Arial" w:hAnsi="Arial" w:cs="Arial"/>
          <w:color w:val="000000" w:themeColor="text1"/>
          <w:kern w:val="0"/>
          <w:szCs w:val="21"/>
          <w14:textFill>
            <w14:solidFill>
              <w14:schemeClr w14:val="tx1"/>
            </w14:solidFill>
          </w14:textFill>
        </w:rPr>
        <w:t>2</w:t>
      </w:r>
      <w:r>
        <w:rPr>
          <w:rFonts w:hint="eastAsia" w:ascii="Arial" w:hAnsi="Arial" w:cs="Arial"/>
          <w:color w:val="000000" w:themeColor="text1"/>
          <w:kern w:val="0"/>
          <w:szCs w:val="21"/>
          <w14:textFill>
            <w14:solidFill>
              <w14:schemeClr w14:val="tx1"/>
            </w14:solidFill>
          </w14:textFill>
        </w:rPr>
        <w:t>）保本基金。是指通过一定的保本投资策略进行运作，同时引入保本保障机制，以保证基金份额持有人在保本周期到期时，可以获得投资本金保证的基金。</w:t>
      </w:r>
    </w:p>
    <w:p>
      <w:pPr>
        <w:widowControl/>
        <w:spacing w:before="240" w:line="405" w:lineRule="atLeast"/>
        <w:jc w:val="left"/>
        <w:rPr>
          <w:rFonts w:ascii="Arial" w:hAnsi="Arial" w:cs="Arial"/>
          <w:color w:val="000000" w:themeColor="text1"/>
          <w:kern w:val="0"/>
          <w:szCs w:val="21"/>
          <w14:textFill>
            <w14:solidFill>
              <w14:schemeClr w14:val="tx1"/>
            </w14:solidFill>
          </w14:textFill>
        </w:rPr>
      </w:pPr>
      <w:r>
        <w:rPr>
          <w:rFonts w:hint="eastAsia" w:ascii="Arial" w:hAnsi="Arial" w:cs="Arial"/>
          <w:color w:val="000000" w:themeColor="text1"/>
          <w:kern w:val="0"/>
          <w:szCs w:val="21"/>
          <w14:textFill>
            <w14:solidFill>
              <w14:schemeClr w14:val="tx1"/>
            </w14:solidFill>
          </w14:textFill>
        </w:rPr>
        <w:t>　　（</w:t>
      </w:r>
      <w:r>
        <w:rPr>
          <w:rFonts w:ascii="Arial" w:hAnsi="Arial" w:cs="Arial"/>
          <w:color w:val="000000" w:themeColor="text1"/>
          <w:kern w:val="0"/>
          <w:szCs w:val="21"/>
          <w14:textFill>
            <w14:solidFill>
              <w14:schemeClr w14:val="tx1"/>
            </w14:solidFill>
          </w14:textFill>
        </w:rPr>
        <w:t>3</w:t>
      </w:r>
      <w:r>
        <w:rPr>
          <w:rFonts w:hint="eastAsia" w:ascii="Arial" w:hAnsi="Arial" w:cs="Arial"/>
          <w:color w:val="000000" w:themeColor="text1"/>
          <w:kern w:val="0"/>
          <w:szCs w:val="21"/>
          <w14:textFill>
            <w14:solidFill>
              <w14:schemeClr w14:val="tx1"/>
            </w14:solidFill>
          </w14:textFill>
        </w:rPr>
        <w:t>）交易型开放式指数基金</w:t>
      </w:r>
      <w:r>
        <w:rPr>
          <w:rFonts w:ascii="Arial" w:hAnsi="Arial" w:cs="Arial"/>
          <w:color w:val="000000" w:themeColor="text1"/>
          <w:kern w:val="0"/>
          <w:szCs w:val="21"/>
          <w14:textFill>
            <w14:solidFill>
              <w14:schemeClr w14:val="tx1"/>
            </w14:solidFill>
          </w14:textFill>
        </w:rPr>
        <w:t>(ETF)</w:t>
      </w:r>
      <w:r>
        <w:rPr>
          <w:rFonts w:hint="eastAsia" w:ascii="Arial" w:hAnsi="Arial" w:cs="Arial"/>
          <w:color w:val="000000" w:themeColor="text1"/>
          <w:kern w:val="0"/>
          <w:szCs w:val="21"/>
          <w14:textFill>
            <w14:solidFill>
              <w14:schemeClr w14:val="tx1"/>
            </w14:solidFill>
          </w14:textFill>
        </w:rPr>
        <w:t>与</w:t>
      </w:r>
      <w:r>
        <w:rPr>
          <w:rFonts w:ascii="Arial" w:hAnsi="Arial" w:cs="Arial"/>
          <w:color w:val="000000" w:themeColor="text1"/>
          <w:kern w:val="0"/>
          <w:szCs w:val="21"/>
          <w14:textFill>
            <w14:solidFill>
              <w14:schemeClr w14:val="tx1"/>
            </w14:solidFill>
          </w14:textFill>
        </w:rPr>
        <w:t>ETF</w:t>
      </w:r>
      <w:r>
        <w:rPr>
          <w:rFonts w:hint="eastAsia" w:ascii="Arial" w:hAnsi="Arial" w:cs="Arial"/>
          <w:color w:val="000000" w:themeColor="text1"/>
          <w:kern w:val="0"/>
          <w:szCs w:val="21"/>
          <w14:textFill>
            <w14:solidFill>
              <w14:schemeClr w14:val="tx1"/>
            </w14:solidFill>
          </w14:textFill>
        </w:rPr>
        <w:t>联接基金。交易型开放式指数基金</w:t>
      </w:r>
      <w:r>
        <w:rPr>
          <w:rFonts w:ascii="Arial" w:hAnsi="Arial" w:cs="Arial"/>
          <w:color w:val="000000" w:themeColor="text1"/>
          <w:kern w:val="0"/>
          <w:szCs w:val="21"/>
          <w14:textFill>
            <w14:solidFill>
              <w14:schemeClr w14:val="tx1"/>
            </w14:solidFill>
          </w14:textFill>
        </w:rPr>
        <w:t>,</w:t>
      </w:r>
      <w:r>
        <w:rPr>
          <w:rFonts w:hint="eastAsia" w:ascii="Arial" w:hAnsi="Arial" w:cs="Arial"/>
          <w:color w:val="000000" w:themeColor="text1"/>
          <w:kern w:val="0"/>
          <w:szCs w:val="21"/>
          <w14:textFill>
            <w14:solidFill>
              <w14:schemeClr w14:val="tx1"/>
            </w14:solidFill>
          </w14:textFill>
        </w:rPr>
        <w:t>通常又被称为交易所交易基金</w:t>
      </w:r>
      <w:r>
        <w:rPr>
          <w:rFonts w:ascii="Arial" w:hAnsi="Arial" w:cs="Arial"/>
          <w:color w:val="000000" w:themeColor="text1"/>
          <w:kern w:val="0"/>
          <w:szCs w:val="21"/>
          <w14:textFill>
            <w14:solidFill>
              <w14:schemeClr w14:val="tx1"/>
            </w14:solidFill>
          </w14:textFill>
        </w:rPr>
        <w:t>(Exchange Traded Funds,</w:t>
      </w:r>
      <w:r>
        <w:rPr>
          <w:rFonts w:hint="eastAsia" w:ascii="Arial" w:hAnsi="Arial" w:cs="Arial"/>
          <w:color w:val="000000" w:themeColor="text1"/>
          <w:kern w:val="0"/>
          <w:szCs w:val="21"/>
          <w14:textFill>
            <w14:solidFill>
              <w14:schemeClr w14:val="tx1"/>
            </w14:solidFill>
          </w14:textFill>
        </w:rPr>
        <w:t>简称</w:t>
      </w:r>
      <w:r>
        <w:rPr>
          <w:rFonts w:ascii="Arial" w:hAnsi="Arial" w:cs="Arial"/>
          <w:color w:val="000000" w:themeColor="text1"/>
          <w:kern w:val="0"/>
          <w:szCs w:val="21"/>
          <w14:textFill>
            <w14:solidFill>
              <w14:schemeClr w14:val="tx1"/>
            </w14:solidFill>
          </w14:textFill>
        </w:rPr>
        <w:t>“ETF”),</w:t>
      </w:r>
      <w:r>
        <w:rPr>
          <w:rFonts w:hint="eastAsia" w:ascii="Arial" w:hAnsi="Arial" w:cs="Arial"/>
          <w:color w:val="000000" w:themeColor="text1"/>
          <w:kern w:val="0"/>
          <w:szCs w:val="21"/>
          <w14:textFill>
            <w14:solidFill>
              <w14:schemeClr w14:val="tx1"/>
            </w14:solidFill>
          </w14:textFill>
        </w:rPr>
        <w:t>是一种在交易所上市交易的、基金份额可变的一种开放式基金。它结合了开放式基金和封闭式基金的运作特点，其份额可以在二级市场买卖，也可以申购、赎回。</w:t>
      </w:r>
    </w:p>
    <w:p>
      <w:pPr>
        <w:widowControl/>
        <w:spacing w:before="240" w:line="405" w:lineRule="atLeast"/>
        <w:jc w:val="left"/>
        <w:rPr>
          <w:rFonts w:ascii="Arial" w:hAnsi="Arial" w:cs="Arial"/>
          <w:color w:val="000000" w:themeColor="text1"/>
          <w:kern w:val="0"/>
          <w:szCs w:val="21"/>
          <w14:textFill>
            <w14:solidFill>
              <w14:schemeClr w14:val="tx1"/>
            </w14:solidFill>
          </w14:textFill>
        </w:rPr>
      </w:pPr>
      <w:r>
        <w:rPr>
          <w:rFonts w:hint="eastAsia" w:ascii="Arial" w:hAnsi="Arial" w:cs="Arial"/>
          <w:color w:val="000000" w:themeColor="text1"/>
          <w:kern w:val="0"/>
          <w:szCs w:val="21"/>
          <w14:textFill>
            <w14:solidFill>
              <w14:schemeClr w14:val="tx1"/>
            </w14:solidFill>
          </w14:textFill>
        </w:rPr>
        <w:t>　　但是，由于它的申购是用一篮子成份券换取基金份额，赎回也是换回一篮子成份券而非现金。为方便未参与二级市场交易的投资者，就诞生了</w:t>
      </w:r>
      <w:r>
        <w:rPr>
          <w:rFonts w:ascii="Arial" w:hAnsi="Arial" w:cs="Arial"/>
          <w:color w:val="000000" w:themeColor="text1"/>
          <w:kern w:val="0"/>
          <w:szCs w:val="21"/>
          <w14:textFill>
            <w14:solidFill>
              <w14:schemeClr w14:val="tx1"/>
            </w14:solidFill>
          </w14:textFill>
        </w:rPr>
        <w:t>“ETF</w:t>
      </w:r>
      <w:r>
        <w:rPr>
          <w:rFonts w:hint="eastAsia" w:ascii="Arial" w:hAnsi="Arial" w:cs="Arial"/>
          <w:color w:val="000000" w:themeColor="text1"/>
          <w:kern w:val="0"/>
          <w:szCs w:val="21"/>
          <w14:textFill>
            <w14:solidFill>
              <w14:schemeClr w14:val="tx1"/>
            </w14:solidFill>
          </w14:textFill>
        </w:rPr>
        <w:t>联接基金</w:t>
      </w:r>
      <w:r>
        <w:rPr>
          <w:rFonts w:ascii="Arial" w:hAnsi="Arial" w:cs="Arial"/>
          <w:color w:val="000000" w:themeColor="text1"/>
          <w:kern w:val="0"/>
          <w:szCs w:val="21"/>
          <w14:textFill>
            <w14:solidFill>
              <w14:schemeClr w14:val="tx1"/>
            </w14:solidFill>
          </w14:textFill>
        </w:rPr>
        <w:t>”</w:t>
      </w:r>
      <w:r>
        <w:rPr>
          <w:rFonts w:hint="eastAsia" w:ascii="Arial" w:hAnsi="Arial" w:cs="Arial"/>
          <w:color w:val="000000" w:themeColor="text1"/>
          <w:kern w:val="0"/>
          <w:szCs w:val="21"/>
          <w14:textFill>
            <w14:solidFill>
              <w14:schemeClr w14:val="tx1"/>
            </w14:solidFill>
          </w14:textFill>
        </w:rPr>
        <w:t>，这种基金将</w:t>
      </w:r>
      <w:r>
        <w:rPr>
          <w:rFonts w:ascii="Arial" w:hAnsi="Arial" w:cs="Arial"/>
          <w:color w:val="000000" w:themeColor="text1"/>
          <w:kern w:val="0"/>
          <w:szCs w:val="21"/>
          <w14:textFill>
            <w14:solidFill>
              <w14:schemeClr w14:val="tx1"/>
            </w14:solidFill>
          </w14:textFill>
        </w:rPr>
        <w:t>90%</w:t>
      </w:r>
      <w:r>
        <w:rPr>
          <w:rFonts w:hint="eastAsia" w:ascii="Arial" w:hAnsi="Arial" w:cs="Arial"/>
          <w:color w:val="000000" w:themeColor="text1"/>
          <w:kern w:val="0"/>
          <w:szCs w:val="21"/>
          <w14:textFill>
            <w14:solidFill>
              <w14:schemeClr w14:val="tx1"/>
            </w14:solidFill>
          </w14:textFill>
        </w:rPr>
        <w:t>以上的资产投资于目标</w:t>
      </w:r>
      <w:r>
        <w:rPr>
          <w:rFonts w:ascii="Arial" w:hAnsi="Arial" w:cs="Arial"/>
          <w:color w:val="000000" w:themeColor="text1"/>
          <w:kern w:val="0"/>
          <w:szCs w:val="21"/>
          <w14:textFill>
            <w14:solidFill>
              <w14:schemeClr w14:val="tx1"/>
            </w14:solidFill>
          </w14:textFill>
        </w:rPr>
        <w:t>ETF</w:t>
      </w:r>
      <w:r>
        <w:rPr>
          <w:rFonts w:hint="eastAsia" w:ascii="Arial" w:hAnsi="Arial" w:cs="Arial"/>
          <w:color w:val="000000" w:themeColor="text1"/>
          <w:kern w:val="0"/>
          <w:szCs w:val="21"/>
          <w14:textFill>
            <w14:solidFill>
              <w14:schemeClr w14:val="tx1"/>
            </w14:solidFill>
          </w14:textFill>
        </w:rPr>
        <w:t>，采用开放式运作方式并在场外申购或赎回。</w:t>
      </w:r>
    </w:p>
    <w:p>
      <w:pPr>
        <w:widowControl/>
        <w:spacing w:before="240" w:line="405" w:lineRule="atLeast"/>
        <w:jc w:val="left"/>
        <w:rPr>
          <w:rFonts w:ascii="Arial" w:hAnsi="Arial" w:cs="Arial"/>
          <w:color w:val="000000" w:themeColor="text1"/>
          <w:kern w:val="0"/>
          <w:szCs w:val="21"/>
          <w14:textFill>
            <w14:solidFill>
              <w14:schemeClr w14:val="tx1"/>
            </w14:solidFill>
          </w14:textFill>
        </w:rPr>
      </w:pPr>
      <w:r>
        <w:rPr>
          <w:rFonts w:hint="eastAsia" w:ascii="Arial" w:hAnsi="Arial" w:cs="Arial"/>
          <w:color w:val="000000" w:themeColor="text1"/>
          <w:kern w:val="0"/>
          <w:szCs w:val="21"/>
          <w14:textFill>
            <w14:solidFill>
              <w14:schemeClr w14:val="tx1"/>
            </w14:solidFill>
          </w14:textFill>
        </w:rPr>
        <w:t>　　（</w:t>
      </w:r>
      <w:r>
        <w:rPr>
          <w:rFonts w:ascii="Arial" w:hAnsi="Arial" w:cs="Arial"/>
          <w:color w:val="000000" w:themeColor="text1"/>
          <w:kern w:val="0"/>
          <w:szCs w:val="21"/>
          <w14:textFill>
            <w14:solidFill>
              <w14:schemeClr w14:val="tx1"/>
            </w14:solidFill>
          </w14:textFill>
        </w:rPr>
        <w:t>4</w:t>
      </w:r>
      <w:r>
        <w:rPr>
          <w:rFonts w:hint="eastAsia" w:ascii="Arial" w:hAnsi="Arial" w:cs="Arial"/>
          <w:color w:val="000000" w:themeColor="text1"/>
          <w:kern w:val="0"/>
          <w:szCs w:val="21"/>
          <w14:textFill>
            <w14:solidFill>
              <w14:schemeClr w14:val="tx1"/>
            </w14:solidFill>
          </w14:textFill>
        </w:rPr>
        <w:t>）上市开放式基金</w:t>
      </w:r>
      <w:r>
        <w:rPr>
          <w:rFonts w:ascii="Arial" w:hAnsi="Arial" w:cs="Arial"/>
          <w:color w:val="000000" w:themeColor="text1"/>
          <w:kern w:val="0"/>
          <w:szCs w:val="21"/>
          <w14:textFill>
            <w14:solidFill>
              <w14:schemeClr w14:val="tx1"/>
            </w14:solidFill>
          </w14:textFill>
        </w:rPr>
        <w:t>(Listed Open-ended Funds,</w:t>
      </w:r>
      <w:r>
        <w:rPr>
          <w:rFonts w:hint="eastAsia" w:ascii="Arial" w:hAnsi="Arial" w:cs="Arial"/>
          <w:color w:val="000000" w:themeColor="text1"/>
          <w:kern w:val="0"/>
          <w:szCs w:val="21"/>
          <w14:textFill>
            <w14:solidFill>
              <w14:schemeClr w14:val="tx1"/>
            </w14:solidFill>
          </w14:textFill>
        </w:rPr>
        <w:t>简称</w:t>
      </w:r>
      <w:r>
        <w:rPr>
          <w:rFonts w:ascii="Arial" w:hAnsi="Arial" w:cs="Arial"/>
          <w:color w:val="000000" w:themeColor="text1"/>
          <w:kern w:val="0"/>
          <w:szCs w:val="21"/>
          <w14:textFill>
            <w14:solidFill>
              <w14:schemeClr w14:val="tx1"/>
            </w14:solidFill>
          </w14:textFill>
        </w:rPr>
        <w:t>“LOF”)</w:t>
      </w:r>
      <w:r>
        <w:rPr>
          <w:rFonts w:hint="eastAsia" w:ascii="Arial" w:hAnsi="Arial" w:cs="Arial"/>
          <w:color w:val="000000" w:themeColor="text1"/>
          <w:kern w:val="0"/>
          <w:szCs w:val="21"/>
          <w14:textFill>
            <w14:solidFill>
              <w14:schemeClr w14:val="tx1"/>
            </w14:solidFill>
          </w14:textFill>
        </w:rPr>
        <w:t>是一种既可以在场外市场进行基金份额申购赎回，又可以在交易所（场内市场）进行基金份额交易、申购或赎回的开放式基金。</w:t>
      </w:r>
    </w:p>
    <w:p>
      <w:pPr>
        <w:widowControl/>
        <w:spacing w:before="240" w:line="405" w:lineRule="atLeast"/>
        <w:jc w:val="left"/>
        <w:rPr>
          <w:rFonts w:ascii="Arial" w:hAnsi="Arial" w:cs="Arial"/>
          <w:color w:val="000000" w:themeColor="text1"/>
          <w:kern w:val="0"/>
          <w:szCs w:val="21"/>
          <w14:textFill>
            <w14:solidFill>
              <w14:schemeClr w14:val="tx1"/>
            </w14:solidFill>
          </w14:textFill>
        </w:rPr>
      </w:pPr>
      <w:r>
        <w:rPr>
          <w:rFonts w:hint="eastAsia" w:ascii="Arial" w:hAnsi="Arial" w:cs="Arial"/>
          <w:color w:val="000000" w:themeColor="text1"/>
          <w:kern w:val="0"/>
          <w:szCs w:val="21"/>
          <w14:textFill>
            <w14:solidFill>
              <w14:schemeClr w14:val="tx1"/>
            </w14:solidFill>
          </w14:textFill>
        </w:rPr>
        <w:t>　　（</w:t>
      </w:r>
      <w:r>
        <w:rPr>
          <w:rFonts w:ascii="Arial" w:hAnsi="Arial" w:cs="Arial"/>
          <w:color w:val="000000" w:themeColor="text1"/>
          <w:kern w:val="0"/>
          <w:szCs w:val="21"/>
          <w14:textFill>
            <w14:solidFill>
              <w14:schemeClr w14:val="tx1"/>
            </w14:solidFill>
          </w14:textFill>
        </w:rPr>
        <w:t>5</w:t>
      </w:r>
      <w:r>
        <w:rPr>
          <w:rFonts w:hint="eastAsia" w:ascii="Arial" w:hAnsi="Arial" w:cs="Arial"/>
          <w:color w:val="000000" w:themeColor="text1"/>
          <w:kern w:val="0"/>
          <w:szCs w:val="21"/>
          <w14:textFill>
            <w14:solidFill>
              <w14:schemeClr w14:val="tx1"/>
            </w14:solidFill>
          </w14:textFill>
        </w:rPr>
        <w:t>）</w:t>
      </w:r>
      <w:r>
        <w:rPr>
          <w:rFonts w:ascii="Arial" w:hAnsi="Arial" w:cs="Arial"/>
          <w:color w:val="000000" w:themeColor="text1"/>
          <w:kern w:val="0"/>
          <w:szCs w:val="21"/>
          <w14:textFill>
            <w14:solidFill>
              <w14:schemeClr w14:val="tx1"/>
            </w14:solidFill>
          </w14:textFill>
        </w:rPr>
        <w:t>QDII</w:t>
      </w:r>
      <w:r>
        <w:rPr>
          <w:rFonts w:hint="eastAsia" w:ascii="Arial" w:hAnsi="Arial" w:cs="Arial"/>
          <w:color w:val="000000" w:themeColor="text1"/>
          <w:kern w:val="0"/>
          <w:szCs w:val="21"/>
          <w14:textFill>
            <w14:solidFill>
              <w14:schemeClr w14:val="tx1"/>
            </w14:solidFill>
          </w14:textFill>
        </w:rPr>
        <w:t>基金。</w:t>
      </w:r>
      <w:r>
        <w:rPr>
          <w:rFonts w:ascii="Arial" w:hAnsi="Arial" w:cs="Arial"/>
          <w:color w:val="000000" w:themeColor="text1"/>
          <w:kern w:val="0"/>
          <w:szCs w:val="21"/>
          <w14:textFill>
            <w14:solidFill>
              <w14:schemeClr w14:val="tx1"/>
            </w14:solidFill>
          </w14:textFill>
        </w:rPr>
        <w:t xml:space="preserve">QDII </w:t>
      </w:r>
      <w:r>
        <w:rPr>
          <w:rFonts w:hint="eastAsia" w:ascii="Arial" w:hAnsi="Arial" w:cs="Arial"/>
          <w:color w:val="000000" w:themeColor="text1"/>
          <w:kern w:val="0"/>
          <w:szCs w:val="21"/>
          <w14:textFill>
            <w14:solidFill>
              <w14:schemeClr w14:val="tx1"/>
            </w14:solidFill>
          </w14:textFill>
        </w:rPr>
        <w:t>是</w:t>
      </w:r>
      <w:r>
        <w:rPr>
          <w:rFonts w:ascii="Arial" w:hAnsi="Arial" w:cs="Arial"/>
          <w:color w:val="000000" w:themeColor="text1"/>
          <w:kern w:val="0"/>
          <w:szCs w:val="21"/>
          <w14:textFill>
            <w14:solidFill>
              <w14:schemeClr w14:val="tx1"/>
            </w14:solidFill>
          </w14:textFill>
        </w:rPr>
        <w:t>Qualified DomesticInstitutionalInvestors</w:t>
      </w:r>
      <w:r>
        <w:rPr>
          <w:rFonts w:hint="eastAsia" w:ascii="Arial" w:hAnsi="Arial" w:cs="Arial"/>
          <w:color w:val="000000" w:themeColor="text1"/>
          <w:kern w:val="0"/>
          <w:szCs w:val="21"/>
          <w14:textFill>
            <w14:solidFill>
              <w14:schemeClr w14:val="tx1"/>
            </w14:solidFill>
          </w14:textFill>
        </w:rPr>
        <w:t>的首字母缩写。它是指在一国境内设立，经该国有关部门批准从事境外证券市场的股票、债券等有价证券投资的基金。它为国内投资者参与国际市场投资提供了便利。</w:t>
      </w:r>
    </w:p>
    <w:p>
      <w:pPr>
        <w:widowControl/>
        <w:spacing w:before="240" w:line="405" w:lineRule="atLeast"/>
        <w:jc w:val="left"/>
        <w:rPr>
          <w:rFonts w:ascii="Arial" w:hAnsi="Arial" w:cs="Arial"/>
          <w:color w:val="000000" w:themeColor="text1"/>
          <w:kern w:val="0"/>
          <w:szCs w:val="21"/>
          <w14:textFill>
            <w14:solidFill>
              <w14:schemeClr w14:val="tx1"/>
            </w14:solidFill>
          </w14:textFill>
        </w:rPr>
      </w:pPr>
      <w:r>
        <w:rPr>
          <w:rFonts w:hint="eastAsia" w:ascii="Arial" w:hAnsi="Arial" w:cs="Arial"/>
          <w:color w:val="000000" w:themeColor="text1"/>
          <w:kern w:val="0"/>
          <w:szCs w:val="21"/>
          <w14:textFill>
            <w14:solidFill>
              <w14:schemeClr w14:val="tx1"/>
            </w14:solidFill>
          </w14:textFill>
        </w:rPr>
        <w:t>　　（</w:t>
      </w:r>
      <w:r>
        <w:rPr>
          <w:rFonts w:ascii="Arial" w:hAnsi="Arial" w:cs="Arial"/>
          <w:color w:val="000000" w:themeColor="text1"/>
          <w:kern w:val="0"/>
          <w:szCs w:val="21"/>
          <w14:textFill>
            <w14:solidFill>
              <w14:schemeClr w14:val="tx1"/>
            </w14:solidFill>
          </w14:textFill>
        </w:rPr>
        <w:t>6</w:t>
      </w:r>
      <w:r>
        <w:rPr>
          <w:rFonts w:hint="eastAsia" w:ascii="Arial" w:hAnsi="Arial" w:cs="Arial"/>
          <w:color w:val="000000" w:themeColor="text1"/>
          <w:kern w:val="0"/>
          <w:szCs w:val="21"/>
          <w14:textFill>
            <w14:solidFill>
              <w14:schemeClr w14:val="tx1"/>
            </w14:solidFill>
          </w14:textFill>
        </w:rPr>
        <w:t>）分级基金。是指通过事先约定基金的风险收益分配，将基础份额分为预期风险收益不同的子份额，并可将其中部分或全部份额上市交易的结构化证券投资基金。</w:t>
      </w:r>
    </w:p>
    <w:p>
      <w:pPr>
        <w:widowControl/>
        <w:spacing w:before="240" w:line="405" w:lineRule="atLeast"/>
        <w:jc w:val="left"/>
        <w:rPr>
          <w:rFonts w:ascii="Arial" w:hAnsi="Arial" w:cs="Arial"/>
          <w:color w:val="000000" w:themeColor="text1"/>
          <w:kern w:val="0"/>
          <w:szCs w:val="21"/>
          <w14:textFill>
            <w14:solidFill>
              <w14:schemeClr w14:val="tx1"/>
            </w14:solidFill>
          </w14:textFill>
        </w:rPr>
      </w:pPr>
      <w:r>
        <w:rPr>
          <w:rFonts w:hint="eastAsia" w:ascii="Arial" w:hAnsi="Arial" w:cs="Arial"/>
          <w:color w:val="000000" w:themeColor="text1"/>
          <w:kern w:val="0"/>
          <w:szCs w:val="21"/>
          <w14:textFill>
            <w14:solidFill>
              <w14:schemeClr w14:val="tx1"/>
            </w14:solidFill>
          </w14:textFill>
        </w:rPr>
        <w:t>　　（四）基金评级</w:t>
      </w:r>
    </w:p>
    <w:p>
      <w:pPr>
        <w:widowControl/>
        <w:spacing w:before="240" w:line="405" w:lineRule="atLeast"/>
        <w:jc w:val="left"/>
        <w:rPr>
          <w:rFonts w:ascii="Arial" w:hAnsi="Arial" w:cs="Arial"/>
          <w:color w:val="000000" w:themeColor="text1"/>
          <w:kern w:val="0"/>
          <w:szCs w:val="21"/>
          <w14:textFill>
            <w14:solidFill>
              <w14:schemeClr w14:val="tx1"/>
            </w14:solidFill>
          </w14:textFill>
        </w:rPr>
      </w:pPr>
      <w:r>
        <w:rPr>
          <w:rFonts w:hint="eastAsia" w:ascii="Arial" w:hAnsi="Arial" w:cs="Arial"/>
          <w:color w:val="000000" w:themeColor="text1"/>
          <w:kern w:val="0"/>
          <w:szCs w:val="21"/>
          <w14:textFill>
            <w14:solidFill>
              <w14:schemeClr w14:val="tx1"/>
            </w14:solidFill>
          </w14:textFill>
        </w:rPr>
        <w:t>　　基金评级是依据一定标准对基金产品进行分析从而做出优劣评价。投资人在投资基金时，可以适当参考基金评级结果，但切不可把基金评级作为选择基金的唯一依据。此外，基金评级是对基金管理人过往的业绩表现做出评价，并不代表基金未来长期业绩的表现。</w:t>
      </w:r>
    </w:p>
    <w:p>
      <w:pPr>
        <w:widowControl/>
        <w:spacing w:before="240" w:line="405" w:lineRule="atLeast"/>
        <w:jc w:val="left"/>
        <w:rPr>
          <w:rFonts w:ascii="Arial" w:hAnsi="Arial" w:cs="Arial"/>
          <w:color w:val="000000" w:themeColor="text1"/>
          <w:kern w:val="0"/>
          <w:szCs w:val="21"/>
          <w14:textFill>
            <w14:solidFill>
              <w14:schemeClr w14:val="tx1"/>
            </w14:solidFill>
          </w14:textFill>
        </w:rPr>
      </w:pPr>
      <w:r>
        <w:rPr>
          <w:rFonts w:hint="eastAsia" w:ascii="Arial" w:hAnsi="Arial" w:cs="Arial"/>
          <w:color w:val="000000" w:themeColor="text1"/>
          <w:kern w:val="0"/>
          <w:szCs w:val="21"/>
          <w14:textFill>
            <w14:solidFill>
              <w14:schemeClr w14:val="tx1"/>
            </w14:solidFill>
          </w14:textFill>
        </w:rPr>
        <w:t>　　</w:t>
      </w:r>
      <w:r>
        <w:rPr>
          <w:rFonts w:hint="eastAsia" w:ascii="Arial" w:hAnsi="Arial" w:cs="Arial"/>
          <w:color w:val="000000" w:themeColor="text1"/>
          <w:kern w:val="0"/>
          <w:szCs w:val="21"/>
          <w:lang w:eastAsia="zh-CN"/>
          <w14:textFill>
            <w14:solidFill>
              <w14:schemeClr w14:val="tx1"/>
            </w14:solidFill>
          </w14:textFill>
        </w:rPr>
        <w:t>我</w:t>
      </w:r>
      <w:r>
        <w:rPr>
          <w:rFonts w:hint="eastAsia" w:ascii="Arial" w:hAnsi="Arial" w:cs="Arial"/>
          <w:color w:val="000000" w:themeColor="text1"/>
          <w:kern w:val="0"/>
          <w:szCs w:val="21"/>
          <w14:textFill>
            <w14:solidFill>
              <w14:schemeClr w14:val="tx1"/>
            </w14:solidFill>
          </w14:textFill>
        </w:rPr>
        <w:t>行将根据销售适用性原则，对基金管理人进行审慎调查，并对基金产品进行风险评价。</w:t>
      </w:r>
    </w:p>
    <w:p>
      <w:pPr>
        <w:widowControl/>
        <w:spacing w:before="240" w:line="405" w:lineRule="atLeast"/>
        <w:jc w:val="left"/>
        <w:rPr>
          <w:rFonts w:ascii="Arial" w:hAnsi="Arial" w:cs="Arial"/>
          <w:color w:val="000000" w:themeColor="text1"/>
          <w:kern w:val="0"/>
          <w:szCs w:val="21"/>
          <w14:textFill>
            <w14:solidFill>
              <w14:schemeClr w14:val="tx1"/>
            </w14:solidFill>
          </w14:textFill>
        </w:rPr>
      </w:pPr>
      <w:r>
        <w:rPr>
          <w:rFonts w:hint="eastAsia" w:ascii="Arial" w:hAnsi="Arial" w:cs="Arial"/>
          <w:color w:val="000000" w:themeColor="text1"/>
          <w:kern w:val="0"/>
          <w:szCs w:val="21"/>
          <w14:textFill>
            <w14:solidFill>
              <w14:schemeClr w14:val="tx1"/>
            </w14:solidFill>
          </w14:textFill>
        </w:rPr>
        <w:t>　　（五）基金费用</w:t>
      </w:r>
    </w:p>
    <w:p>
      <w:pPr>
        <w:widowControl/>
        <w:spacing w:before="240" w:line="405" w:lineRule="atLeast"/>
        <w:jc w:val="left"/>
        <w:rPr>
          <w:rFonts w:ascii="Arial" w:hAnsi="Arial" w:cs="Arial"/>
          <w:color w:val="000000" w:themeColor="text1"/>
          <w:kern w:val="0"/>
          <w:szCs w:val="21"/>
          <w14:textFill>
            <w14:solidFill>
              <w14:schemeClr w14:val="tx1"/>
            </w14:solidFill>
          </w14:textFill>
        </w:rPr>
      </w:pPr>
      <w:r>
        <w:rPr>
          <w:rFonts w:hint="eastAsia" w:ascii="Arial" w:hAnsi="Arial" w:cs="Arial"/>
          <w:color w:val="000000" w:themeColor="text1"/>
          <w:kern w:val="0"/>
          <w:szCs w:val="21"/>
          <w14:textFill>
            <w14:solidFill>
              <w14:schemeClr w14:val="tx1"/>
            </w14:solidFill>
          </w14:textFill>
        </w:rPr>
        <w:t>　　基金费用一般包括两大类：一类是在基金销售过程中发生的由基金投资人自己承担的费用，主要包括认购费、申购费、赎回费和基金转换费。这些费用一般直接在投资人认购、申购、赎回或转换时收取。其中申购费可在投资人购买基金时收取，即前端申购费；也可在投资人卖出基金时收取，即后端申购费，其费率一般按持有期限递减。另一类是在基金管理过程中发生的费用，主要包括基金管理费、基金托管费、信息披露费等，这些费用由基金资产承担。对于不收取申购、赎回费的货币市场基金和部分债券基金，还可按相关规定从基金资产中计提一定的销售服务费，专门用于本基金的销售和对基金持有人的服务。</w:t>
      </w:r>
    </w:p>
    <w:p>
      <w:pPr>
        <w:widowControl/>
        <w:spacing w:before="240" w:line="405" w:lineRule="atLeast"/>
        <w:jc w:val="left"/>
        <w:rPr>
          <w:rFonts w:ascii="Arial" w:hAnsi="Arial" w:cs="Arial"/>
          <w:b/>
          <w:bCs/>
          <w:color w:val="000000" w:themeColor="text1"/>
          <w:kern w:val="0"/>
          <w:szCs w:val="21"/>
          <w14:textFill>
            <w14:solidFill>
              <w14:schemeClr w14:val="tx1"/>
            </w14:solidFill>
          </w14:textFill>
        </w:rPr>
      </w:pPr>
      <w:r>
        <w:rPr>
          <w:rFonts w:hint="eastAsia" w:ascii="Arial" w:hAnsi="Arial" w:cs="Arial"/>
          <w:color w:val="000000" w:themeColor="text1"/>
          <w:kern w:val="0"/>
          <w:szCs w:val="21"/>
          <w14:textFill>
            <w14:solidFill>
              <w14:schemeClr w14:val="tx1"/>
            </w14:solidFill>
          </w14:textFill>
        </w:rPr>
        <w:t>　　</w:t>
      </w:r>
      <w:r>
        <w:rPr>
          <w:rFonts w:hint="eastAsia" w:ascii="Arial" w:hAnsi="Arial" w:cs="Arial"/>
          <w:b/>
          <w:bCs/>
          <w:color w:val="000000" w:themeColor="text1"/>
          <w:kern w:val="0"/>
          <w:szCs w:val="21"/>
          <w14:textFill>
            <w14:solidFill>
              <w14:schemeClr w14:val="tx1"/>
            </w14:solidFill>
          </w14:textFill>
        </w:rPr>
        <w:t>二、基金份额持有人的权利</w:t>
      </w:r>
    </w:p>
    <w:p>
      <w:pPr>
        <w:widowControl/>
        <w:spacing w:before="240" w:line="405" w:lineRule="atLeast"/>
        <w:jc w:val="left"/>
        <w:rPr>
          <w:rFonts w:ascii="Arial" w:hAnsi="Arial" w:cs="Arial"/>
          <w:color w:val="000000" w:themeColor="text1"/>
          <w:kern w:val="0"/>
          <w:szCs w:val="21"/>
          <w14:textFill>
            <w14:solidFill>
              <w14:schemeClr w14:val="tx1"/>
            </w14:solidFill>
          </w14:textFill>
        </w:rPr>
      </w:pPr>
      <w:r>
        <w:rPr>
          <w:rFonts w:hint="eastAsia" w:ascii="Arial" w:hAnsi="Arial" w:cs="Arial"/>
          <w:color w:val="000000" w:themeColor="text1"/>
          <w:kern w:val="0"/>
          <w:szCs w:val="21"/>
          <w14:textFill>
            <w14:solidFill>
              <w14:schemeClr w14:val="tx1"/>
            </w14:solidFill>
          </w14:textFill>
        </w:rPr>
        <w:t>　　根据《证券投资基金法》第</w:t>
      </w:r>
      <w:r>
        <w:rPr>
          <w:rFonts w:ascii="Arial" w:hAnsi="Arial" w:cs="Arial"/>
          <w:color w:val="000000" w:themeColor="text1"/>
          <w:kern w:val="0"/>
          <w:szCs w:val="21"/>
          <w14:textFill>
            <w14:solidFill>
              <w14:schemeClr w14:val="tx1"/>
            </w14:solidFill>
          </w14:textFill>
        </w:rPr>
        <w:t>46</w:t>
      </w:r>
      <w:r>
        <w:rPr>
          <w:rFonts w:hint="eastAsia" w:ascii="Arial" w:hAnsi="Arial" w:cs="Arial"/>
          <w:color w:val="000000" w:themeColor="text1"/>
          <w:kern w:val="0"/>
          <w:szCs w:val="21"/>
          <w14:textFill>
            <w14:solidFill>
              <w14:schemeClr w14:val="tx1"/>
            </w14:solidFill>
          </w14:textFill>
        </w:rPr>
        <w:t>条的规定，基金份额持有人享有下列权利：</w:t>
      </w:r>
    </w:p>
    <w:p>
      <w:pPr>
        <w:widowControl/>
        <w:spacing w:before="240" w:line="405" w:lineRule="atLeast"/>
        <w:jc w:val="left"/>
        <w:rPr>
          <w:rFonts w:ascii="Arial" w:hAnsi="Arial" w:cs="Arial"/>
          <w:color w:val="000000" w:themeColor="text1"/>
          <w:kern w:val="0"/>
          <w:szCs w:val="21"/>
          <w14:textFill>
            <w14:solidFill>
              <w14:schemeClr w14:val="tx1"/>
            </w14:solidFill>
          </w14:textFill>
        </w:rPr>
      </w:pPr>
      <w:r>
        <w:rPr>
          <w:rFonts w:hint="eastAsia" w:ascii="Arial" w:hAnsi="Arial" w:cs="Arial"/>
          <w:color w:val="000000" w:themeColor="text1"/>
          <w:kern w:val="0"/>
          <w:szCs w:val="21"/>
          <w14:textFill>
            <w14:solidFill>
              <w14:schemeClr w14:val="tx1"/>
            </w14:solidFill>
          </w14:textFill>
        </w:rPr>
        <w:t>　　（一）分享基金财产收益；</w:t>
      </w:r>
    </w:p>
    <w:p>
      <w:pPr>
        <w:widowControl/>
        <w:spacing w:before="240" w:line="405" w:lineRule="atLeast"/>
        <w:jc w:val="left"/>
        <w:rPr>
          <w:rFonts w:ascii="Arial" w:hAnsi="Arial" w:cs="Arial"/>
          <w:color w:val="000000" w:themeColor="text1"/>
          <w:kern w:val="0"/>
          <w:szCs w:val="21"/>
          <w14:textFill>
            <w14:solidFill>
              <w14:schemeClr w14:val="tx1"/>
            </w14:solidFill>
          </w14:textFill>
        </w:rPr>
      </w:pPr>
      <w:r>
        <w:rPr>
          <w:rFonts w:hint="eastAsia" w:ascii="Arial" w:hAnsi="Arial" w:cs="Arial"/>
          <w:color w:val="000000" w:themeColor="text1"/>
          <w:kern w:val="0"/>
          <w:szCs w:val="21"/>
          <w14:textFill>
            <w14:solidFill>
              <w14:schemeClr w14:val="tx1"/>
            </w14:solidFill>
          </w14:textFill>
        </w:rPr>
        <w:t>　　（二）参与分配清算后的剩余基金财产；</w:t>
      </w:r>
    </w:p>
    <w:p>
      <w:pPr>
        <w:widowControl/>
        <w:spacing w:before="240" w:line="405" w:lineRule="atLeast"/>
        <w:jc w:val="left"/>
        <w:rPr>
          <w:rFonts w:ascii="Arial" w:hAnsi="Arial" w:cs="Arial"/>
          <w:color w:val="000000" w:themeColor="text1"/>
          <w:kern w:val="0"/>
          <w:szCs w:val="21"/>
          <w14:textFill>
            <w14:solidFill>
              <w14:schemeClr w14:val="tx1"/>
            </w14:solidFill>
          </w14:textFill>
        </w:rPr>
      </w:pPr>
      <w:r>
        <w:rPr>
          <w:rFonts w:hint="eastAsia" w:ascii="Arial" w:hAnsi="Arial" w:cs="Arial"/>
          <w:color w:val="000000" w:themeColor="text1"/>
          <w:kern w:val="0"/>
          <w:szCs w:val="21"/>
          <w14:textFill>
            <w14:solidFill>
              <w14:schemeClr w14:val="tx1"/>
            </w14:solidFill>
          </w14:textFill>
        </w:rPr>
        <w:t>　　（三）依法转让或申请赎回其持有的基金份额；</w:t>
      </w:r>
    </w:p>
    <w:p>
      <w:pPr>
        <w:widowControl/>
        <w:spacing w:before="240" w:line="405" w:lineRule="atLeast"/>
        <w:jc w:val="left"/>
        <w:rPr>
          <w:rFonts w:ascii="Arial" w:hAnsi="Arial" w:cs="Arial"/>
          <w:color w:val="000000" w:themeColor="text1"/>
          <w:kern w:val="0"/>
          <w:szCs w:val="21"/>
          <w14:textFill>
            <w14:solidFill>
              <w14:schemeClr w14:val="tx1"/>
            </w14:solidFill>
          </w14:textFill>
        </w:rPr>
      </w:pPr>
      <w:r>
        <w:rPr>
          <w:rFonts w:hint="eastAsia" w:ascii="Arial" w:hAnsi="Arial" w:cs="Arial"/>
          <w:color w:val="000000" w:themeColor="text1"/>
          <w:kern w:val="0"/>
          <w:szCs w:val="21"/>
          <w14:textFill>
            <w14:solidFill>
              <w14:schemeClr w14:val="tx1"/>
            </w14:solidFill>
          </w14:textFill>
        </w:rPr>
        <w:t>　　（四）按照规定要求召开基金份额持有人大会或者召集基金份额持有人大会；</w:t>
      </w:r>
    </w:p>
    <w:p>
      <w:pPr>
        <w:widowControl/>
        <w:spacing w:before="240" w:line="405" w:lineRule="atLeast"/>
        <w:jc w:val="left"/>
        <w:rPr>
          <w:rFonts w:ascii="Arial" w:hAnsi="Arial" w:cs="Arial"/>
          <w:color w:val="000000" w:themeColor="text1"/>
          <w:kern w:val="0"/>
          <w:szCs w:val="21"/>
          <w14:textFill>
            <w14:solidFill>
              <w14:schemeClr w14:val="tx1"/>
            </w14:solidFill>
          </w14:textFill>
        </w:rPr>
      </w:pPr>
      <w:r>
        <w:rPr>
          <w:rFonts w:hint="eastAsia" w:ascii="Arial" w:hAnsi="Arial" w:cs="Arial"/>
          <w:color w:val="000000" w:themeColor="text1"/>
          <w:kern w:val="0"/>
          <w:szCs w:val="21"/>
          <w14:textFill>
            <w14:solidFill>
              <w14:schemeClr w14:val="tx1"/>
            </w14:solidFill>
          </w14:textFill>
        </w:rPr>
        <w:t>　　（五）对基金份额持有人大会审议事项行使表决权；</w:t>
      </w:r>
    </w:p>
    <w:p>
      <w:pPr>
        <w:widowControl/>
        <w:spacing w:before="240" w:line="405" w:lineRule="atLeast"/>
        <w:jc w:val="left"/>
        <w:rPr>
          <w:rFonts w:ascii="Arial" w:hAnsi="Arial" w:cs="Arial"/>
          <w:color w:val="000000" w:themeColor="text1"/>
          <w:kern w:val="0"/>
          <w:szCs w:val="21"/>
          <w14:textFill>
            <w14:solidFill>
              <w14:schemeClr w14:val="tx1"/>
            </w14:solidFill>
          </w14:textFill>
        </w:rPr>
      </w:pPr>
      <w:r>
        <w:rPr>
          <w:rFonts w:hint="eastAsia" w:ascii="Arial" w:hAnsi="Arial" w:cs="Arial"/>
          <w:color w:val="000000" w:themeColor="text1"/>
          <w:kern w:val="0"/>
          <w:szCs w:val="21"/>
          <w14:textFill>
            <w14:solidFill>
              <w14:schemeClr w14:val="tx1"/>
            </w14:solidFill>
          </w14:textFill>
        </w:rPr>
        <w:t>　　（六）对基金管理人、基金托管人、基金服务机构损害其合法权益的行为依法提起诉讼；</w:t>
      </w:r>
    </w:p>
    <w:p>
      <w:pPr>
        <w:widowControl/>
        <w:spacing w:before="240" w:line="405" w:lineRule="atLeast"/>
        <w:jc w:val="left"/>
        <w:rPr>
          <w:rFonts w:ascii="Arial" w:hAnsi="Arial" w:cs="Arial"/>
          <w:color w:val="000000" w:themeColor="text1"/>
          <w:kern w:val="0"/>
          <w:szCs w:val="21"/>
          <w14:textFill>
            <w14:solidFill>
              <w14:schemeClr w14:val="tx1"/>
            </w14:solidFill>
          </w14:textFill>
        </w:rPr>
      </w:pPr>
      <w:r>
        <w:rPr>
          <w:rFonts w:hint="eastAsia" w:ascii="Arial" w:hAnsi="Arial" w:cs="Arial"/>
          <w:color w:val="000000" w:themeColor="text1"/>
          <w:kern w:val="0"/>
          <w:szCs w:val="21"/>
          <w14:textFill>
            <w14:solidFill>
              <w14:schemeClr w14:val="tx1"/>
            </w14:solidFill>
          </w14:textFill>
        </w:rPr>
        <w:t>　　（七）基金合同约定的其它权利。</w:t>
      </w:r>
    </w:p>
    <w:p>
      <w:pPr>
        <w:widowControl/>
        <w:spacing w:line="360" w:lineRule="auto"/>
        <w:ind w:firstLine="420" w:firstLineChars="200"/>
        <w:jc w:val="left"/>
        <w:rPr>
          <w:rFonts w:hint="eastAsia" w:ascii="Arial" w:hAnsi="Arial" w:cs="Arial"/>
          <w:color w:val="000000" w:themeColor="text1"/>
          <w:kern w:val="0"/>
          <w:szCs w:val="21"/>
          <w14:textFill>
            <w14:solidFill>
              <w14:schemeClr w14:val="tx1"/>
            </w14:solidFill>
          </w14:textFill>
        </w:rPr>
      </w:pPr>
      <w:r>
        <w:rPr>
          <w:rFonts w:hint="eastAsia" w:ascii="Arial" w:hAnsi="Arial" w:cs="Arial"/>
          <w:color w:val="000000" w:themeColor="text1"/>
          <w:kern w:val="0"/>
          <w:szCs w:val="21"/>
          <w14:textFill>
            <w14:solidFill>
              <w14:schemeClr w14:val="tx1"/>
            </w14:solidFill>
          </w14:textFill>
        </w:rPr>
        <w:t>公开募集基金的基金份额持有人有权查阅或者复制公开披露的基金信息资料；非公开募集基金的基金份额持有人对涉及自身利益的情况，有权查阅基金的财务会计账簿等财务资料。</w:t>
      </w:r>
    </w:p>
    <w:p>
      <w:pPr>
        <w:widowControl/>
        <w:spacing w:before="240" w:line="405" w:lineRule="atLeast"/>
        <w:jc w:val="left"/>
        <w:rPr>
          <w:rFonts w:ascii="Arial" w:hAnsi="Arial" w:cs="Arial"/>
          <w:b/>
          <w:bCs/>
          <w:color w:val="000000" w:themeColor="text1"/>
          <w:kern w:val="0"/>
          <w:szCs w:val="21"/>
          <w14:textFill>
            <w14:solidFill>
              <w14:schemeClr w14:val="tx1"/>
            </w14:solidFill>
          </w14:textFill>
        </w:rPr>
      </w:pPr>
      <w:r>
        <w:rPr>
          <w:rFonts w:hint="eastAsia" w:ascii="Arial" w:hAnsi="Arial" w:cs="Arial"/>
          <w:color w:val="000000" w:themeColor="text1"/>
          <w:kern w:val="0"/>
          <w:szCs w:val="21"/>
          <w14:textFill>
            <w14:solidFill>
              <w14:schemeClr w14:val="tx1"/>
            </w14:solidFill>
          </w14:textFill>
        </w:rPr>
        <w:t>　　</w:t>
      </w:r>
      <w:r>
        <w:rPr>
          <w:rFonts w:hint="eastAsia" w:ascii="Arial" w:hAnsi="Arial" w:cs="Arial"/>
          <w:b/>
          <w:bCs/>
          <w:color w:val="000000" w:themeColor="text1"/>
          <w:kern w:val="0"/>
          <w:szCs w:val="21"/>
          <w14:textFill>
            <w14:solidFill>
              <w14:schemeClr w14:val="tx1"/>
            </w14:solidFill>
          </w14:textFill>
        </w:rPr>
        <w:t>三、基金投资风险提示</w:t>
      </w:r>
    </w:p>
    <w:p>
      <w:pPr>
        <w:widowControl/>
        <w:spacing w:before="240" w:line="405" w:lineRule="atLeast"/>
        <w:jc w:val="left"/>
        <w:rPr>
          <w:rFonts w:ascii="Arial" w:hAnsi="Arial" w:cs="Arial"/>
          <w:b/>
          <w:bCs/>
          <w:color w:val="000000" w:themeColor="text1"/>
          <w:kern w:val="0"/>
          <w:szCs w:val="21"/>
          <w14:textFill>
            <w14:solidFill>
              <w14:schemeClr w14:val="tx1"/>
            </w14:solidFill>
          </w14:textFill>
        </w:rPr>
      </w:pPr>
      <w:r>
        <w:rPr>
          <w:rFonts w:hint="eastAsia" w:ascii="Arial" w:hAnsi="Arial" w:cs="Arial"/>
          <w:b/>
          <w:bCs/>
          <w:color w:val="000000" w:themeColor="text1"/>
          <w:kern w:val="0"/>
          <w:szCs w:val="21"/>
          <w14:textFill>
            <w14:solidFill>
              <w14:schemeClr w14:val="tx1"/>
            </w14:solidFill>
          </w14:textFill>
        </w:rPr>
        <w:t>　　</w:t>
      </w:r>
      <w:r>
        <w:rPr>
          <w:rFonts w:hint="eastAsia" w:ascii="Arial" w:hAnsi="Arial" w:cs="Arial"/>
          <w:color w:val="000000" w:themeColor="text1"/>
          <w:kern w:val="0"/>
          <w:szCs w:val="21"/>
          <w14:textFill>
            <w14:solidFill>
              <w14:schemeClr w14:val="tx1"/>
            </w14:solidFill>
          </w14:textFill>
        </w:rPr>
        <w:t>（一）证券投资基金是一种理财工具，其主要功能是分散投资，降低投资单一证券所带来的个别风险。基金不同于银行储蓄和债券等能够提供固定收益预期的金融工具，投资人购买基金，</w:t>
      </w:r>
      <w:r>
        <w:rPr>
          <w:rFonts w:hint="eastAsia" w:ascii="Arial" w:hAnsi="Arial" w:cs="Arial"/>
          <w:b/>
          <w:bCs/>
          <w:color w:val="000000" w:themeColor="text1"/>
          <w:kern w:val="0"/>
          <w:szCs w:val="21"/>
          <w14:textFill>
            <w14:solidFill>
              <w14:schemeClr w14:val="tx1"/>
            </w14:solidFill>
          </w14:textFill>
        </w:rPr>
        <w:t>既可能按其持有份额分享基金投资所产生的收益，也可能承担基金投资所带来的损失。</w:t>
      </w:r>
    </w:p>
    <w:p>
      <w:pPr>
        <w:widowControl/>
        <w:spacing w:before="240" w:line="405" w:lineRule="atLeast"/>
        <w:jc w:val="left"/>
        <w:rPr>
          <w:rFonts w:ascii="Arial" w:hAnsi="Arial" w:cs="Arial"/>
          <w:b/>
          <w:bCs/>
          <w:color w:val="000000" w:themeColor="text1"/>
          <w:kern w:val="0"/>
          <w:szCs w:val="21"/>
          <w14:textFill>
            <w14:solidFill>
              <w14:schemeClr w14:val="tx1"/>
            </w14:solidFill>
          </w14:textFill>
        </w:rPr>
      </w:pPr>
      <w:r>
        <w:rPr>
          <w:rFonts w:hint="eastAsia" w:ascii="Arial" w:hAnsi="Arial" w:cs="Arial"/>
          <w:color w:val="000000" w:themeColor="text1"/>
          <w:kern w:val="0"/>
          <w:szCs w:val="21"/>
          <w14:textFill>
            <w14:solidFill>
              <w14:schemeClr w14:val="tx1"/>
            </w14:solidFill>
          </w14:textFill>
        </w:rPr>
        <w:t>　　（二）基金在投资运作过程中可能面临各种风险，既包括市场风险，也包括基金自身的管理风险、技术风险和合规风险等。巨额赎回风险是开放式基金所特有的一种风险，即当单个交易日基金的净赎回申请超过基金总份额的百分之十时，</w:t>
      </w:r>
      <w:r>
        <w:rPr>
          <w:rFonts w:hint="eastAsia" w:ascii="Arial" w:hAnsi="Arial" w:cs="Arial"/>
          <w:b/>
          <w:bCs/>
          <w:color w:val="000000" w:themeColor="text1"/>
          <w:kern w:val="0"/>
          <w:szCs w:val="21"/>
          <w14:textFill>
            <w14:solidFill>
              <w14:schemeClr w14:val="tx1"/>
            </w14:solidFill>
          </w14:textFill>
        </w:rPr>
        <w:t>投资人将可能无法及时赎回持有的全部基金份额。</w:t>
      </w:r>
    </w:p>
    <w:p>
      <w:pPr>
        <w:widowControl/>
        <w:spacing w:before="240" w:line="405" w:lineRule="atLeast"/>
        <w:jc w:val="left"/>
        <w:rPr>
          <w:rFonts w:ascii="Arial" w:hAnsi="Arial" w:cs="Arial"/>
          <w:color w:val="000000" w:themeColor="text1"/>
          <w:kern w:val="0"/>
          <w:szCs w:val="21"/>
          <w14:textFill>
            <w14:solidFill>
              <w14:schemeClr w14:val="tx1"/>
            </w14:solidFill>
          </w14:textFill>
        </w:rPr>
      </w:pPr>
      <w:r>
        <w:rPr>
          <w:rFonts w:hint="eastAsia" w:ascii="Arial" w:hAnsi="Arial" w:cs="Arial"/>
          <w:color w:val="000000" w:themeColor="text1"/>
          <w:kern w:val="0"/>
          <w:szCs w:val="21"/>
          <w14:textFill>
            <w14:solidFill>
              <w14:schemeClr w14:val="tx1"/>
            </w14:solidFill>
          </w14:textFill>
        </w:rPr>
        <w:t>　　（三）基金投资人应当充分了解基金定期定额投资和零存整取等储蓄方式的区别。定期定额投资是引导投资人进行长期投资、平均投资成本的一种简单易行的投资方式，但并不能规避基金投资所固有的风险，</w:t>
      </w:r>
      <w:r>
        <w:rPr>
          <w:rFonts w:hint="eastAsia" w:ascii="Arial" w:hAnsi="Arial" w:cs="Arial"/>
          <w:b/>
          <w:bCs/>
          <w:color w:val="000000" w:themeColor="text1"/>
          <w:kern w:val="0"/>
          <w:szCs w:val="21"/>
          <w14:textFill>
            <w14:solidFill>
              <w14:schemeClr w14:val="tx1"/>
            </w14:solidFill>
          </w14:textFill>
        </w:rPr>
        <w:t>不能保证投资人获得收益，也不是替代储蓄的等效理财方式。</w:t>
      </w:r>
    </w:p>
    <w:p>
      <w:pPr>
        <w:widowControl/>
        <w:spacing w:before="240" w:line="405" w:lineRule="atLeast"/>
        <w:jc w:val="left"/>
        <w:rPr>
          <w:rFonts w:ascii="Arial" w:hAnsi="Arial" w:cs="Arial"/>
          <w:color w:val="000000" w:themeColor="text1"/>
          <w:kern w:val="0"/>
          <w:szCs w:val="21"/>
          <w14:textFill>
            <w14:solidFill>
              <w14:schemeClr w14:val="tx1"/>
            </w14:solidFill>
          </w14:textFill>
        </w:rPr>
      </w:pPr>
      <w:r>
        <w:rPr>
          <w:rFonts w:hint="eastAsia" w:ascii="Arial" w:hAnsi="Arial" w:cs="Arial"/>
          <w:color w:val="000000" w:themeColor="text1"/>
          <w:kern w:val="0"/>
          <w:szCs w:val="21"/>
          <w14:textFill>
            <w14:solidFill>
              <w14:schemeClr w14:val="tx1"/>
            </w14:solidFill>
          </w14:textFill>
        </w:rPr>
        <w:t>　　（四）基金管理人承诺以诚实守信、勤勉尽责的原则管理和运用基金资产，</w:t>
      </w:r>
      <w:r>
        <w:rPr>
          <w:rFonts w:hint="eastAsia" w:ascii="Arial" w:hAnsi="Arial" w:cs="Arial"/>
          <w:b/>
          <w:bCs/>
          <w:color w:val="000000" w:themeColor="text1"/>
          <w:kern w:val="0"/>
          <w:szCs w:val="21"/>
          <w14:textFill>
            <w14:solidFill>
              <w14:schemeClr w14:val="tx1"/>
            </w14:solidFill>
          </w14:textFill>
        </w:rPr>
        <w:t>但不保证旗下基金一定盈利，也不保证最低收益。</w:t>
      </w:r>
      <w:r>
        <w:rPr>
          <w:rFonts w:hint="eastAsia" w:ascii="Arial" w:hAnsi="Arial" w:cs="Arial"/>
          <w:color w:val="000000" w:themeColor="text1"/>
          <w:kern w:val="0"/>
          <w:szCs w:val="21"/>
          <w14:textFill>
            <w14:solidFill>
              <w14:schemeClr w14:val="tx1"/>
            </w14:solidFill>
          </w14:textFill>
        </w:rPr>
        <w:t>旗下基金的过往业绩及其净值高低并不预示其未来业绩表现。基金管理人提醒投资人基金投资的</w:t>
      </w:r>
      <w:r>
        <w:rPr>
          <w:rFonts w:ascii="Arial" w:hAnsi="Arial" w:cs="Arial"/>
          <w:b/>
          <w:bCs/>
          <w:color w:val="000000" w:themeColor="text1"/>
          <w:kern w:val="0"/>
          <w:szCs w:val="21"/>
          <w14:textFill>
            <w14:solidFill>
              <w14:schemeClr w14:val="tx1"/>
            </w14:solidFill>
          </w14:textFill>
        </w:rPr>
        <w:t>“</w:t>
      </w:r>
      <w:r>
        <w:rPr>
          <w:rFonts w:hint="eastAsia" w:ascii="Arial" w:hAnsi="Arial" w:cs="Arial"/>
          <w:b/>
          <w:bCs/>
          <w:color w:val="000000" w:themeColor="text1"/>
          <w:kern w:val="0"/>
          <w:szCs w:val="21"/>
          <w14:textFill>
            <w14:solidFill>
              <w14:schemeClr w14:val="tx1"/>
            </w14:solidFill>
          </w14:textFill>
        </w:rPr>
        <w:t>买者自负</w:t>
      </w:r>
      <w:r>
        <w:rPr>
          <w:rFonts w:ascii="Arial" w:hAnsi="Arial" w:cs="Arial"/>
          <w:b/>
          <w:bCs/>
          <w:color w:val="000000" w:themeColor="text1"/>
          <w:kern w:val="0"/>
          <w:szCs w:val="21"/>
          <w14:textFill>
            <w14:solidFill>
              <w14:schemeClr w14:val="tx1"/>
            </w14:solidFill>
          </w14:textFill>
        </w:rPr>
        <w:t>”</w:t>
      </w:r>
      <w:r>
        <w:rPr>
          <w:rFonts w:hint="eastAsia" w:ascii="Arial" w:hAnsi="Arial" w:cs="Arial"/>
          <w:color w:val="000000" w:themeColor="text1"/>
          <w:kern w:val="0"/>
          <w:szCs w:val="21"/>
          <w14:textFill>
            <w14:solidFill>
              <w14:schemeClr w14:val="tx1"/>
            </w14:solidFill>
          </w14:textFill>
        </w:rPr>
        <w:t>原则，在做出投资决策后，基金运营状况与基金净值变化引致的投资风险，</w:t>
      </w:r>
      <w:r>
        <w:rPr>
          <w:rFonts w:hint="eastAsia" w:ascii="Arial" w:hAnsi="Arial" w:cs="Arial"/>
          <w:b/>
          <w:bCs/>
          <w:color w:val="000000" w:themeColor="text1"/>
          <w:kern w:val="0"/>
          <w:szCs w:val="21"/>
          <w14:textFill>
            <w14:solidFill>
              <w14:schemeClr w14:val="tx1"/>
            </w14:solidFill>
          </w14:textFill>
        </w:rPr>
        <w:t>由投资人自行负担。</w:t>
      </w:r>
    </w:p>
    <w:p>
      <w:pPr>
        <w:widowControl/>
        <w:spacing w:before="240" w:line="405" w:lineRule="atLeast"/>
        <w:jc w:val="left"/>
        <w:rPr>
          <w:rFonts w:ascii="Arial" w:hAnsi="Arial" w:cs="Arial"/>
          <w:b/>
          <w:bCs/>
          <w:color w:val="000000" w:themeColor="text1"/>
          <w:kern w:val="0"/>
          <w:szCs w:val="21"/>
          <w14:textFill>
            <w14:solidFill>
              <w14:schemeClr w14:val="tx1"/>
            </w14:solidFill>
          </w14:textFill>
        </w:rPr>
      </w:pPr>
      <w:r>
        <w:rPr>
          <w:rFonts w:hint="eastAsia" w:ascii="Arial" w:hAnsi="Arial" w:cs="Arial"/>
          <w:color w:val="000000" w:themeColor="text1"/>
          <w:kern w:val="0"/>
          <w:szCs w:val="21"/>
          <w14:textFill>
            <w14:solidFill>
              <w14:schemeClr w14:val="tx1"/>
            </w14:solidFill>
          </w14:textFill>
        </w:rPr>
        <w:t>　　（五）</w:t>
      </w:r>
      <w:r>
        <w:rPr>
          <w:rFonts w:hint="eastAsia" w:ascii="Arial" w:hAnsi="Arial" w:cs="Arial"/>
          <w:color w:val="000000" w:themeColor="text1"/>
          <w:kern w:val="0"/>
          <w:szCs w:val="21"/>
          <w:lang w:eastAsia="zh-CN"/>
          <w14:textFill>
            <w14:solidFill>
              <w14:schemeClr w14:val="tx1"/>
            </w14:solidFill>
          </w14:textFill>
        </w:rPr>
        <w:t>我行</w:t>
      </w:r>
      <w:r>
        <w:rPr>
          <w:rFonts w:hint="eastAsia" w:ascii="Arial" w:hAnsi="Arial" w:cs="Arial"/>
          <w:color w:val="000000" w:themeColor="text1"/>
          <w:kern w:val="0"/>
          <w:szCs w:val="21"/>
          <w14:textFill>
            <w14:solidFill>
              <w14:schemeClr w14:val="tx1"/>
            </w14:solidFill>
          </w14:textFill>
        </w:rPr>
        <w:t>将对基金投资人的风险承受能力进行调查和评价，并根据基金投资人的风险承受能力推荐相应的基金品种，但我行所做的推荐仅供投资人参考，</w:t>
      </w:r>
      <w:r>
        <w:rPr>
          <w:rFonts w:hint="eastAsia" w:ascii="Arial" w:hAnsi="Arial" w:cs="Arial"/>
          <w:b/>
          <w:bCs/>
          <w:color w:val="000000" w:themeColor="text1"/>
          <w:kern w:val="0"/>
          <w:szCs w:val="21"/>
          <w14:textFill>
            <w14:solidFill>
              <w14:schemeClr w14:val="tx1"/>
            </w14:solidFill>
          </w14:textFill>
        </w:rPr>
        <w:t>投资人应根据自身风险承受能力选择基金产品并自行承担投资基金的风险。</w:t>
      </w:r>
    </w:p>
    <w:p>
      <w:pPr>
        <w:widowControl/>
        <w:spacing w:before="240" w:line="405" w:lineRule="atLeast"/>
        <w:jc w:val="left"/>
        <w:rPr>
          <w:rFonts w:hint="eastAsia" w:ascii="Arial" w:hAnsi="Arial" w:cs="Arial"/>
          <w:color w:val="000000" w:themeColor="text1"/>
          <w:kern w:val="0"/>
          <w:szCs w:val="21"/>
          <w14:textFill>
            <w14:solidFill>
              <w14:schemeClr w14:val="tx1"/>
            </w14:solidFill>
          </w14:textFill>
        </w:rPr>
      </w:pPr>
      <w:r>
        <w:rPr>
          <w:rFonts w:hint="eastAsia" w:ascii="Arial" w:hAnsi="Arial" w:cs="Arial"/>
          <w:color w:val="000000" w:themeColor="text1"/>
          <w:kern w:val="0"/>
          <w:szCs w:val="21"/>
          <w14:textFill>
            <w14:solidFill>
              <w14:schemeClr w14:val="tx1"/>
            </w14:solidFill>
          </w14:textFill>
        </w:rPr>
        <w:t>　</w:t>
      </w:r>
      <w:r>
        <w:rPr>
          <w:rFonts w:hint="eastAsia" w:ascii="Arial" w:hAnsi="Arial" w:cs="Arial"/>
          <w:b/>
          <w:bCs/>
          <w:color w:val="000000" w:themeColor="text1"/>
          <w:kern w:val="0"/>
          <w:szCs w:val="21"/>
          <w14:textFill>
            <w14:solidFill>
              <w14:schemeClr w14:val="tx1"/>
            </w14:solidFill>
          </w14:textFill>
        </w:rPr>
        <w:t xml:space="preserve">  四、服务内容和收费方式</w:t>
      </w:r>
    </w:p>
    <w:p>
      <w:pPr>
        <w:widowControl/>
        <w:shd w:val="clear" w:color="auto" w:fill="FFFFFF"/>
        <w:ind w:firstLine="420" w:firstLineChars="200"/>
        <w:jc w:val="left"/>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我</w:t>
      </w:r>
      <w:r>
        <w:rPr>
          <w:rFonts w:hint="eastAsia" w:ascii="宋体" w:hAnsi="宋体" w:cs="宋体"/>
          <w:color w:val="000000" w:themeColor="text1"/>
          <w:kern w:val="0"/>
          <w:szCs w:val="21"/>
          <w:lang w:eastAsia="zh-CN"/>
          <w14:textFill>
            <w14:solidFill>
              <w14:schemeClr w14:val="tx1"/>
            </w14:solidFill>
          </w14:textFill>
        </w:rPr>
        <w:t>行</w:t>
      </w:r>
      <w:r>
        <w:rPr>
          <w:rFonts w:hint="eastAsia" w:ascii="宋体" w:hAnsi="宋体" w:cs="宋体"/>
          <w:color w:val="000000" w:themeColor="text1"/>
          <w:kern w:val="0"/>
          <w:szCs w:val="21"/>
          <w14:textFill>
            <w14:solidFill>
              <w14:schemeClr w14:val="tx1"/>
            </w14:solidFill>
          </w14:textFill>
        </w:rPr>
        <w:t>向基金投资人提供以下服务：     </w:t>
      </w:r>
    </w:p>
    <w:p>
      <w:pPr>
        <w:widowControl/>
        <w:shd w:val="clear" w:color="auto" w:fill="FFFFFF"/>
        <w:ind w:firstLine="420" w:firstLineChars="200"/>
        <w:jc w:val="left"/>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（一） 对基金投资人的风险承受能力进行调查和评价。     </w:t>
      </w:r>
    </w:p>
    <w:p>
      <w:pPr>
        <w:widowControl/>
        <w:shd w:val="clear" w:color="auto" w:fill="FFFFFF"/>
        <w:ind w:firstLine="420" w:firstLineChars="200"/>
        <w:jc w:val="left"/>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（二） 基金销售业务，包括基金（资金）账户开户、基金申（认）购、基金赎回、基金转换、定额定投、修改基金分红方式等。我</w:t>
      </w:r>
      <w:r>
        <w:rPr>
          <w:rFonts w:hint="eastAsia" w:ascii="宋体" w:hAnsi="宋体" w:cs="宋体"/>
          <w:color w:val="000000" w:themeColor="text1"/>
          <w:kern w:val="0"/>
          <w:szCs w:val="21"/>
          <w:lang w:eastAsia="zh-CN"/>
          <w14:textFill>
            <w14:solidFill>
              <w14:schemeClr w14:val="tx1"/>
            </w14:solidFill>
          </w14:textFill>
        </w:rPr>
        <w:t>行</w:t>
      </w:r>
      <w:r>
        <w:rPr>
          <w:rFonts w:hint="eastAsia" w:ascii="宋体" w:hAnsi="宋体" w:cs="宋体"/>
          <w:color w:val="000000" w:themeColor="text1"/>
          <w:kern w:val="0"/>
          <w:szCs w:val="21"/>
          <w14:textFill>
            <w14:solidFill>
              <w14:schemeClr w14:val="tx1"/>
            </w14:solidFill>
          </w14:textFill>
        </w:rPr>
        <w:t>根据每只基金的发行公告及基金管理公司发布的其它相关公告收取相应的申（认）购、 赎回费和转换费。    </w:t>
      </w:r>
    </w:p>
    <w:p>
      <w:pPr>
        <w:widowControl/>
        <w:shd w:val="clear" w:color="auto" w:fill="FFFFFF"/>
        <w:ind w:firstLine="420" w:firstLineChars="200"/>
        <w:jc w:val="left"/>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（三） 基金网上交易服务。    </w:t>
      </w:r>
    </w:p>
    <w:p>
      <w:pPr>
        <w:widowControl/>
        <w:shd w:val="clear" w:color="auto" w:fill="FFFFFF"/>
        <w:ind w:firstLine="420" w:firstLineChars="200"/>
        <w:jc w:val="left"/>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（四）</w:t>
      </w:r>
      <w:r>
        <w:rPr>
          <w:rFonts w:hint="eastAsia" w:ascii="宋体" w:hAnsi="宋体" w:cs="宋体"/>
          <w:color w:val="000000" w:themeColor="text1"/>
          <w:kern w:val="0"/>
          <w:szCs w:val="21"/>
          <w:lang w:val="en-US" w:eastAsia="zh-CN"/>
          <w14:textFill>
            <w14:solidFill>
              <w14:schemeClr w14:val="tx1"/>
            </w14:solidFill>
          </w14:textFill>
        </w:rPr>
        <w:t xml:space="preserve"> </w:t>
      </w:r>
      <w:r>
        <w:rPr>
          <w:rFonts w:hint="eastAsia" w:ascii="宋体" w:hAnsi="宋体" w:cs="宋体"/>
          <w:color w:val="000000" w:themeColor="text1"/>
          <w:kern w:val="0"/>
          <w:szCs w:val="21"/>
          <w14:textFill>
            <w14:solidFill>
              <w14:schemeClr w14:val="tx1"/>
            </w14:solidFill>
          </w14:textFill>
        </w:rPr>
        <w:t>基金投资咨询服务（可选项）。</w:t>
      </w:r>
    </w:p>
    <w:p>
      <w:pPr>
        <w:widowControl/>
        <w:shd w:val="clear" w:color="auto" w:fill="FFFFFF"/>
        <w:ind w:firstLine="420" w:firstLineChars="200"/>
        <w:jc w:val="left"/>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（五）</w:t>
      </w:r>
      <w:r>
        <w:rPr>
          <w:rFonts w:hint="eastAsia" w:ascii="宋体" w:hAnsi="宋体" w:cs="宋体"/>
          <w:color w:val="000000" w:themeColor="text1"/>
          <w:kern w:val="0"/>
          <w:szCs w:val="21"/>
          <w:lang w:val="en-US" w:eastAsia="zh-CN"/>
          <w14:textFill>
            <w14:solidFill>
              <w14:schemeClr w14:val="tx1"/>
            </w14:solidFill>
          </w14:textFill>
        </w:rPr>
        <w:t xml:space="preserve"> </w:t>
      </w:r>
      <w:r>
        <w:rPr>
          <w:rFonts w:hint="eastAsia" w:ascii="宋体" w:hAnsi="宋体" w:cs="宋体"/>
          <w:color w:val="000000" w:themeColor="text1"/>
          <w:kern w:val="0"/>
          <w:szCs w:val="21"/>
          <w14:textFill>
            <w14:solidFill>
              <w14:schemeClr w14:val="tx1"/>
            </w14:solidFill>
          </w14:textFill>
        </w:rPr>
        <w:t>基金净值、分红提示、交易确认等短信服务（可选项）。</w:t>
      </w:r>
    </w:p>
    <w:p>
      <w:pPr>
        <w:widowControl/>
        <w:shd w:val="clear" w:color="auto" w:fill="FFFFFF"/>
        <w:ind w:firstLine="420" w:firstLineChars="200"/>
        <w:jc w:val="left"/>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（六）</w:t>
      </w:r>
      <w:r>
        <w:rPr>
          <w:rFonts w:hint="eastAsia" w:ascii="宋体" w:hAnsi="宋体" w:cs="宋体"/>
          <w:color w:val="000000" w:themeColor="text1"/>
          <w:kern w:val="0"/>
          <w:szCs w:val="21"/>
          <w:lang w:val="en-US" w:eastAsia="zh-CN"/>
          <w14:textFill>
            <w14:solidFill>
              <w14:schemeClr w14:val="tx1"/>
            </w14:solidFill>
          </w14:textFill>
        </w:rPr>
        <w:t xml:space="preserve"> </w:t>
      </w:r>
      <w:r>
        <w:rPr>
          <w:rFonts w:hint="eastAsia" w:ascii="宋体" w:hAnsi="宋体" w:cs="宋体"/>
          <w:color w:val="000000" w:themeColor="text1"/>
          <w:kern w:val="0"/>
          <w:szCs w:val="21"/>
          <w14:textFill>
            <w14:solidFill>
              <w14:schemeClr w14:val="tx1"/>
            </w14:solidFill>
          </w14:textFill>
        </w:rPr>
        <w:t>电话咨询服务（可选项）。</w:t>
      </w:r>
    </w:p>
    <w:p>
      <w:pPr>
        <w:widowControl/>
        <w:shd w:val="clear" w:color="auto" w:fill="FFFFFF"/>
        <w:ind w:firstLine="420" w:firstLineChars="200"/>
        <w:jc w:val="left"/>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（七）</w:t>
      </w:r>
      <w:r>
        <w:rPr>
          <w:rFonts w:hint="eastAsia" w:ascii="宋体" w:hAnsi="宋体" w:cs="宋体"/>
          <w:color w:val="000000" w:themeColor="text1"/>
          <w:kern w:val="0"/>
          <w:szCs w:val="21"/>
          <w:lang w:val="en-US" w:eastAsia="zh-CN"/>
          <w14:textFill>
            <w14:solidFill>
              <w14:schemeClr w14:val="tx1"/>
            </w14:solidFill>
          </w14:textFill>
        </w:rPr>
        <w:t xml:space="preserve"> </w:t>
      </w:r>
      <w:r>
        <w:rPr>
          <w:rFonts w:hint="eastAsia" w:ascii="宋体" w:hAnsi="宋体" w:cs="宋体"/>
          <w:color w:val="000000" w:themeColor="text1"/>
          <w:kern w:val="0"/>
          <w:szCs w:val="21"/>
          <w14:textFill>
            <w14:solidFill>
              <w14:schemeClr w14:val="tx1"/>
            </w14:solidFill>
          </w14:textFill>
        </w:rPr>
        <w:t>基金知识普及和风险教育。</w:t>
      </w:r>
    </w:p>
    <w:p>
      <w:pPr>
        <w:widowControl/>
        <w:shd w:val="clear" w:color="auto" w:fill="FFFFFF"/>
        <w:ind w:firstLine="420" w:firstLineChars="200"/>
        <w:jc w:val="left"/>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（以上服务内容涉及收费的，各基金销售机构要明示收费方式）</w:t>
      </w:r>
    </w:p>
    <w:p>
      <w:pPr>
        <w:widowControl/>
        <w:shd w:val="clear" w:color="auto" w:fill="FFFFFF"/>
        <w:ind w:firstLine="422" w:firstLineChars="200"/>
        <w:jc w:val="left"/>
        <w:rPr>
          <w:rFonts w:hint="eastAsia" w:ascii="宋体" w:hAnsi="宋体" w:cs="宋体"/>
          <w:b/>
          <w:bCs/>
          <w:color w:val="000000" w:themeColor="text1"/>
          <w:kern w:val="0"/>
          <w:szCs w:val="21"/>
          <w14:textFill>
            <w14:solidFill>
              <w14:schemeClr w14:val="tx1"/>
            </w14:solidFill>
          </w14:textFill>
        </w:rPr>
      </w:pPr>
    </w:p>
    <w:p>
      <w:pPr>
        <w:widowControl/>
        <w:shd w:val="clear" w:color="auto" w:fill="FFFFFF"/>
        <w:ind w:firstLine="422" w:firstLineChars="200"/>
        <w:jc w:val="left"/>
        <w:rPr>
          <w:rFonts w:hint="eastAsia"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五、基金交易业务流程     </w:t>
      </w:r>
    </w:p>
    <w:p>
      <w:pPr>
        <w:widowControl/>
        <w:shd w:val="clear" w:color="auto" w:fill="FFFFFF"/>
        <w:ind w:firstLine="420" w:firstLineChars="200"/>
        <w:jc w:val="left"/>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投资者可以在</w:t>
      </w:r>
      <w:r>
        <w:rPr>
          <w:rFonts w:hint="eastAsia" w:ascii="宋体" w:hAnsi="宋体" w:cs="宋体"/>
          <w:color w:val="000000" w:themeColor="text1"/>
          <w:kern w:val="0"/>
          <w:szCs w:val="21"/>
          <w:lang w:eastAsia="zh-CN"/>
          <w14:textFill>
            <w14:solidFill>
              <w14:schemeClr w14:val="tx1"/>
            </w14:solidFill>
          </w14:textFill>
        </w:rPr>
        <w:t>我行</w:t>
      </w:r>
      <w:r>
        <w:rPr>
          <w:rFonts w:hint="eastAsia" w:ascii="宋体" w:hAnsi="宋体" w:cs="宋体"/>
          <w:color w:val="000000" w:themeColor="text1"/>
          <w:kern w:val="0"/>
          <w:szCs w:val="21"/>
          <w14:textFill>
            <w14:solidFill>
              <w14:schemeClr w14:val="tx1"/>
            </w14:solidFill>
          </w14:textFill>
        </w:rPr>
        <w:t>电子银行（手机银行app）渠道办理该业务。相关业务流程包括：基金开户、资料修改、基金认/申购、基金赎回、基金查询、基金转换、基金定期定额申购等。</w:t>
      </w:r>
    </w:p>
    <w:p>
      <w:pPr>
        <w:widowControl/>
        <w:numPr>
          <w:ilvl w:val="0"/>
          <w:numId w:val="0"/>
        </w:numPr>
        <w:shd w:val="clear" w:color="auto" w:fill="FFFFFF"/>
        <w:ind w:firstLine="420" w:firstLineChars="200"/>
        <w:jc w:val="left"/>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xml:space="preserve"> 投资人在认/申购之前，须</w:t>
      </w:r>
      <w:r>
        <w:rPr>
          <w:rFonts w:hint="eastAsia" w:ascii="宋体" w:hAnsi="宋体" w:cs="宋体"/>
          <w:color w:val="000000" w:themeColor="text1"/>
          <w:kern w:val="0"/>
          <w:szCs w:val="21"/>
          <w:lang w:eastAsia="zh-CN"/>
          <w14:textFill>
            <w14:solidFill>
              <w14:schemeClr w14:val="tx1"/>
            </w14:solidFill>
          </w14:textFill>
        </w:rPr>
        <w:t>完成基金签约和风险评估，并</w:t>
      </w:r>
      <w:r>
        <w:rPr>
          <w:rFonts w:hint="eastAsia" w:ascii="宋体" w:hAnsi="宋体" w:cs="宋体"/>
          <w:color w:val="000000" w:themeColor="text1"/>
          <w:kern w:val="0"/>
          <w:szCs w:val="21"/>
          <w14:textFill>
            <w14:solidFill>
              <w14:schemeClr w14:val="tx1"/>
            </w14:solidFill>
          </w14:textFill>
        </w:rPr>
        <w:t>将认/申购资金全额汇入或存入我行基金资金专户。</w:t>
      </w:r>
    </w:p>
    <w:p>
      <w:pPr>
        <w:pStyle w:val="2"/>
        <w:rPr>
          <w:rFonts w:hint="eastAsia"/>
        </w:rPr>
      </w:pPr>
      <w:r>
        <w:rPr>
          <w:rFonts w:hint="eastAsia" w:ascii="宋体" w:hAnsi="宋体" w:cs="宋体"/>
          <w:color w:val="000000" w:themeColor="text1"/>
          <w:kern w:val="0"/>
          <w:szCs w:val="21"/>
          <w14:textFill>
            <w14:solidFill>
              <w14:schemeClr w14:val="tx1"/>
            </w14:solidFill>
          </w14:textFill>
        </w:rPr>
        <w:t>投资人应保证用于认/申购的资金来源合法并仔细审查确定所认/申购的产品是否适合自己。投资人应有权自行支配，不存在任何法律、合约或其他障碍。</w:t>
      </w:r>
    </w:p>
    <w:p>
      <w:pPr>
        <w:widowControl/>
        <w:numPr>
          <w:ilvl w:val="0"/>
          <w:numId w:val="2"/>
        </w:numPr>
        <w:shd w:val="clear" w:color="auto" w:fill="FFFFFF"/>
        <w:ind w:firstLine="420" w:firstLineChars="200"/>
        <w:jc w:val="left"/>
        <w:rPr>
          <w:rFonts w:hint="eastAsia" w:ascii="宋体" w:hAnsi="宋体" w:cs="宋体"/>
          <w:color w:val="000000" w:themeColor="text1"/>
          <w:kern w:val="0"/>
          <w:szCs w:val="21"/>
          <w:lang w:eastAsia="zh-CN"/>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基金</w:t>
      </w:r>
      <w:r>
        <w:rPr>
          <w:rFonts w:hint="eastAsia" w:ascii="宋体" w:hAnsi="宋体" w:cs="宋体"/>
          <w:color w:val="000000" w:themeColor="text1"/>
          <w:kern w:val="0"/>
          <w:szCs w:val="21"/>
          <w:lang w:eastAsia="zh-CN"/>
          <w14:textFill>
            <w14:solidFill>
              <w14:schemeClr w14:val="tx1"/>
            </w14:solidFill>
          </w14:textFill>
        </w:rPr>
        <w:t>签约和风险评估</w:t>
      </w:r>
    </w:p>
    <w:p>
      <w:pPr>
        <w:widowControl/>
        <w:numPr>
          <w:ilvl w:val="0"/>
          <w:numId w:val="3"/>
        </w:numPr>
        <w:shd w:val="clear" w:color="auto" w:fill="FFFFFF"/>
        <w:ind w:firstLine="420" w:firstLineChars="200"/>
        <w:jc w:val="left"/>
        <w:rPr>
          <w:rFonts w:hint="eastAsia" w:ascii="宋体" w:hAnsi="宋体" w:cs="宋体"/>
          <w:color w:val="000000" w:themeColor="text1"/>
          <w:kern w:val="0"/>
          <w:szCs w:val="21"/>
          <w:lang w:eastAsia="zh-CN"/>
          <w14:textFill>
            <w14:solidFill>
              <w14:schemeClr w14:val="tx1"/>
            </w14:solidFill>
          </w14:textFill>
        </w:rPr>
      </w:pPr>
      <w:r>
        <w:rPr>
          <w:rFonts w:hint="eastAsia" w:ascii="宋体" w:hAnsi="宋体" w:cs="宋体"/>
          <w:color w:val="000000" w:themeColor="text1"/>
          <w:kern w:val="0"/>
          <w:szCs w:val="21"/>
          <w:lang w:eastAsia="zh-CN"/>
          <w14:textFill>
            <w14:solidFill>
              <w14:schemeClr w14:val="tx1"/>
            </w14:solidFill>
          </w14:textFill>
        </w:rPr>
        <w:t>打开我行手机银行，在“首页”或“投资”页面选择“基金”进入基金市场；</w:t>
      </w:r>
    </w:p>
    <w:p>
      <w:pPr>
        <w:widowControl/>
        <w:numPr>
          <w:ilvl w:val="0"/>
          <w:numId w:val="3"/>
        </w:numPr>
        <w:shd w:val="clear" w:color="auto" w:fill="FFFFFF"/>
        <w:ind w:firstLine="420" w:firstLineChars="200"/>
        <w:jc w:val="left"/>
        <w:rPr>
          <w:rFonts w:hint="eastAsia" w:ascii="宋体" w:hAnsi="宋体" w:cs="宋体"/>
          <w:color w:val="000000" w:themeColor="text1"/>
          <w:kern w:val="0"/>
          <w:szCs w:val="21"/>
          <w:lang w:eastAsia="zh-CN"/>
          <w14:textFill>
            <w14:solidFill>
              <w14:schemeClr w14:val="tx1"/>
            </w14:solidFill>
          </w14:textFill>
        </w:rPr>
      </w:pPr>
      <w:r>
        <w:rPr>
          <w:rFonts w:hint="eastAsia" w:ascii="宋体" w:hAnsi="宋体" w:cs="宋体"/>
          <w:color w:val="000000" w:themeColor="text1"/>
          <w:kern w:val="0"/>
          <w:szCs w:val="21"/>
          <w:lang w:eastAsia="zh-CN"/>
          <w14:textFill>
            <w14:solidFill>
              <w14:schemeClr w14:val="tx1"/>
            </w14:solidFill>
          </w14:textFill>
        </w:rPr>
        <w:t>在“信息管理”页面可进行签约、风险评估，还可以做签约信息变更、签约卡号变更、销户、解约等交易。</w:t>
      </w:r>
    </w:p>
    <w:p>
      <w:pPr>
        <w:widowControl/>
        <w:numPr>
          <w:ilvl w:val="0"/>
          <w:numId w:val="2"/>
        </w:numPr>
        <w:shd w:val="clear" w:color="auto" w:fill="FFFFFF"/>
        <w:ind w:firstLine="420" w:firstLineChars="200"/>
        <w:jc w:val="left"/>
        <w:rPr>
          <w:rFonts w:hint="eastAsia" w:ascii="宋体" w:hAnsi="宋体" w:cs="宋体"/>
          <w:color w:val="000000" w:themeColor="text1"/>
          <w:kern w:val="0"/>
          <w:szCs w:val="21"/>
          <w:lang w:val="en-US" w:eastAsia="zh-CN"/>
          <w14:textFill>
            <w14:solidFill>
              <w14:schemeClr w14:val="tx1"/>
            </w14:solidFill>
          </w14:textFill>
        </w:rPr>
      </w:pPr>
      <w:r>
        <w:rPr>
          <w:rFonts w:hint="eastAsia" w:ascii="宋体" w:hAnsi="宋体" w:cs="宋体"/>
          <w:color w:val="000000" w:themeColor="text1"/>
          <w:kern w:val="0"/>
          <w:szCs w:val="21"/>
          <w:lang w:eastAsia="zh-CN"/>
          <w14:textFill>
            <w14:solidFill>
              <w14:schemeClr w14:val="tx1"/>
            </w14:solidFill>
          </w14:textFill>
        </w:rPr>
        <w:t>基金购买</w:t>
      </w:r>
    </w:p>
    <w:p>
      <w:pPr>
        <w:widowControl/>
        <w:numPr>
          <w:ilvl w:val="0"/>
          <w:numId w:val="0"/>
        </w:numPr>
        <w:shd w:val="clear" w:color="auto" w:fill="FFFFFF"/>
        <w:ind w:firstLine="420" w:firstLineChars="200"/>
        <w:jc w:val="left"/>
        <w:rPr>
          <w:rFonts w:hint="eastAsia" w:ascii="宋体" w:hAnsi="宋体" w:cs="宋体"/>
          <w:color w:val="000000" w:themeColor="text1"/>
          <w:kern w:val="0"/>
          <w:szCs w:val="21"/>
          <w:lang w:val="en-US" w:eastAsia="zh-CN"/>
          <w14:textFill>
            <w14:solidFill>
              <w14:schemeClr w14:val="tx1"/>
            </w14:solidFill>
          </w14:textFill>
        </w:rPr>
      </w:pPr>
      <w:r>
        <w:rPr>
          <w:rFonts w:hint="default" w:ascii="宋体" w:hAnsi="宋体" w:cs="宋体"/>
          <w:color w:val="000000" w:themeColor="text1"/>
          <w:kern w:val="0"/>
          <w:szCs w:val="21"/>
          <w:lang w:eastAsia="zh-CN"/>
          <w14:textFill>
            <w14:solidFill>
              <w14:schemeClr w14:val="tx1"/>
            </w14:solidFill>
          </w14:textFill>
        </w:rPr>
        <w:t>（</w:t>
      </w:r>
      <w:r>
        <w:rPr>
          <w:rFonts w:hint="eastAsia" w:ascii="宋体" w:hAnsi="宋体" w:cs="宋体"/>
          <w:color w:val="000000" w:themeColor="text1"/>
          <w:kern w:val="0"/>
          <w:szCs w:val="21"/>
          <w:lang w:val="en-US" w:eastAsia="zh-CN"/>
          <w14:textFill>
            <w14:solidFill>
              <w14:schemeClr w14:val="tx1"/>
            </w14:solidFill>
          </w14:textFill>
        </w:rPr>
        <w:t>1</w:t>
      </w:r>
      <w:r>
        <w:rPr>
          <w:rFonts w:hint="default" w:ascii="宋体" w:hAnsi="宋体" w:cs="宋体"/>
          <w:color w:val="000000" w:themeColor="text1"/>
          <w:kern w:val="0"/>
          <w:szCs w:val="21"/>
          <w:lang w:eastAsia="zh-CN"/>
          <w14:textFill>
            <w14:solidFill>
              <w14:schemeClr w14:val="tx1"/>
            </w14:solidFill>
          </w14:textFill>
        </w:rPr>
        <w:t>）</w:t>
      </w:r>
      <w:r>
        <w:rPr>
          <w:rFonts w:hint="eastAsia" w:ascii="宋体" w:hAnsi="宋体" w:cs="宋体"/>
          <w:color w:val="000000" w:themeColor="text1"/>
          <w:kern w:val="0"/>
          <w:szCs w:val="21"/>
          <w:lang w:val="en-US" w:eastAsia="zh-CN"/>
          <w14:textFill>
            <w14:solidFill>
              <w14:schemeClr w14:val="tx1"/>
            </w14:solidFill>
          </w14:textFill>
        </w:rPr>
        <w:t>打开我行手机银行，在“首页”或“投资”页面选择“基金”进入基金市场；</w:t>
      </w:r>
    </w:p>
    <w:p>
      <w:pPr>
        <w:widowControl/>
        <w:numPr>
          <w:ilvl w:val="0"/>
          <w:numId w:val="0"/>
        </w:numPr>
        <w:shd w:val="clear" w:color="auto" w:fill="FFFFFF"/>
        <w:ind w:firstLine="420" w:firstLineChars="200"/>
        <w:jc w:val="left"/>
        <w:rPr>
          <w:rFonts w:hint="eastAsia" w:ascii="宋体" w:hAnsi="宋体" w:cs="宋体"/>
          <w:color w:val="000000" w:themeColor="text1"/>
          <w:kern w:val="0"/>
          <w:szCs w:val="21"/>
          <w:lang w:val="en-US" w:eastAsia="zh-CN"/>
          <w14:textFill>
            <w14:solidFill>
              <w14:schemeClr w14:val="tx1"/>
            </w14:solidFill>
          </w14:textFill>
        </w:rPr>
      </w:pPr>
      <w:r>
        <w:rPr>
          <w:rFonts w:hint="default" w:ascii="宋体" w:hAnsi="宋体" w:cs="宋体"/>
          <w:color w:val="000000" w:themeColor="text1"/>
          <w:kern w:val="0"/>
          <w:szCs w:val="21"/>
          <w:lang w:eastAsia="zh-CN"/>
          <w14:textFill>
            <w14:solidFill>
              <w14:schemeClr w14:val="tx1"/>
            </w14:solidFill>
          </w14:textFill>
        </w:rPr>
        <w:t>（</w:t>
      </w:r>
      <w:r>
        <w:rPr>
          <w:rFonts w:hint="eastAsia" w:ascii="宋体" w:hAnsi="宋体" w:cs="宋体"/>
          <w:color w:val="000000" w:themeColor="text1"/>
          <w:kern w:val="0"/>
          <w:szCs w:val="21"/>
          <w:lang w:val="en-US" w:eastAsia="zh-CN"/>
          <w14:textFill>
            <w14:solidFill>
              <w14:schemeClr w14:val="tx1"/>
            </w14:solidFill>
          </w14:textFill>
        </w:rPr>
        <w:t>2</w:t>
      </w:r>
      <w:r>
        <w:rPr>
          <w:rFonts w:hint="default" w:ascii="宋体" w:hAnsi="宋体" w:cs="宋体"/>
          <w:color w:val="000000" w:themeColor="text1"/>
          <w:kern w:val="0"/>
          <w:szCs w:val="21"/>
          <w:lang w:eastAsia="zh-CN"/>
          <w14:textFill>
            <w14:solidFill>
              <w14:schemeClr w14:val="tx1"/>
            </w14:solidFill>
          </w14:textFill>
        </w:rPr>
        <w:t>）</w:t>
      </w:r>
      <w:r>
        <w:rPr>
          <w:rFonts w:hint="eastAsia" w:ascii="宋体" w:hAnsi="宋体" w:cs="宋体"/>
          <w:color w:val="000000" w:themeColor="text1"/>
          <w:kern w:val="0"/>
          <w:szCs w:val="21"/>
          <w:lang w:val="en-US" w:eastAsia="zh-CN"/>
          <w14:textFill>
            <w14:solidFill>
              <w14:schemeClr w14:val="tx1"/>
            </w14:solidFill>
          </w14:textFill>
        </w:rPr>
        <w:t>在“基金市场”，选择一款基金产品，选择“立即购买”，进入“风险承受能力确认”页面，选择“不同意”返回上一页，选择“同意”进入购买页面；</w:t>
      </w:r>
    </w:p>
    <w:p>
      <w:pPr>
        <w:widowControl/>
        <w:numPr>
          <w:ilvl w:val="0"/>
          <w:numId w:val="0"/>
        </w:numPr>
        <w:shd w:val="clear" w:color="auto" w:fill="FFFFFF"/>
        <w:ind w:firstLine="420" w:firstLineChars="200"/>
        <w:jc w:val="left"/>
        <w:rPr>
          <w:rFonts w:hint="eastAsia" w:ascii="宋体" w:hAnsi="宋体" w:cs="宋体"/>
          <w:color w:val="000000" w:themeColor="text1"/>
          <w:kern w:val="0"/>
          <w:szCs w:val="21"/>
          <w:lang w:val="en-US" w:eastAsia="zh-CN"/>
          <w14:textFill>
            <w14:solidFill>
              <w14:schemeClr w14:val="tx1"/>
            </w14:solidFill>
          </w14:textFill>
        </w:rPr>
      </w:pPr>
      <w:r>
        <w:rPr>
          <w:rFonts w:hint="default" w:ascii="宋体" w:hAnsi="宋体" w:cs="宋体"/>
          <w:color w:val="000000" w:themeColor="text1"/>
          <w:kern w:val="0"/>
          <w:szCs w:val="21"/>
          <w:lang w:eastAsia="zh-CN"/>
          <w14:textFill>
            <w14:solidFill>
              <w14:schemeClr w14:val="tx1"/>
            </w14:solidFill>
          </w14:textFill>
        </w:rPr>
        <w:t>（</w:t>
      </w:r>
      <w:r>
        <w:rPr>
          <w:rFonts w:hint="eastAsia" w:ascii="宋体" w:hAnsi="宋体" w:cs="宋体"/>
          <w:color w:val="000000" w:themeColor="text1"/>
          <w:kern w:val="0"/>
          <w:szCs w:val="21"/>
          <w:lang w:val="en-US" w:eastAsia="zh-CN"/>
          <w14:textFill>
            <w14:solidFill>
              <w14:schemeClr w14:val="tx1"/>
            </w14:solidFill>
          </w14:textFill>
        </w:rPr>
        <w:t>3</w:t>
      </w:r>
      <w:r>
        <w:rPr>
          <w:rFonts w:hint="default" w:ascii="宋体" w:hAnsi="宋体" w:cs="宋体"/>
          <w:color w:val="000000" w:themeColor="text1"/>
          <w:kern w:val="0"/>
          <w:szCs w:val="21"/>
          <w:lang w:eastAsia="zh-CN"/>
          <w14:textFill>
            <w14:solidFill>
              <w14:schemeClr w14:val="tx1"/>
            </w14:solidFill>
          </w14:textFill>
        </w:rPr>
        <w:t>）</w:t>
      </w:r>
      <w:r>
        <w:rPr>
          <w:rFonts w:hint="eastAsia" w:ascii="宋体" w:hAnsi="宋体" w:cs="宋体"/>
          <w:color w:val="000000" w:themeColor="text1"/>
          <w:kern w:val="0"/>
          <w:szCs w:val="21"/>
          <w:lang w:val="en-US" w:eastAsia="zh-CN"/>
          <w14:textFill>
            <w14:solidFill>
              <w14:schemeClr w14:val="tx1"/>
            </w14:solidFill>
          </w14:textFill>
        </w:rPr>
        <w:t>输入购买金额，确认付款账号，填写客户经理（可不填），勾选须知跳转基金协议页面，需滑动至下面，且阅读时间不低于5秒，阅读完毕后选择同意再进行购买，确认后输入密码，购买受理成功（首次购买默认同步开户）；</w:t>
      </w:r>
    </w:p>
    <w:p>
      <w:pPr>
        <w:widowControl/>
        <w:numPr>
          <w:ilvl w:val="0"/>
          <w:numId w:val="0"/>
        </w:numPr>
        <w:shd w:val="clear" w:color="auto" w:fill="FFFFFF"/>
        <w:ind w:firstLine="420" w:firstLineChars="200"/>
        <w:jc w:val="left"/>
        <w:rPr>
          <w:rFonts w:hint="eastAsia" w:ascii="宋体" w:hAnsi="宋体" w:cs="宋体"/>
          <w:color w:val="000000" w:themeColor="text1"/>
          <w:kern w:val="0"/>
          <w:szCs w:val="21"/>
          <w:lang w:val="en-US" w:eastAsia="zh-CN"/>
          <w14:textFill>
            <w14:solidFill>
              <w14:schemeClr w14:val="tx1"/>
            </w14:solidFill>
          </w14:textFill>
        </w:rPr>
      </w:pPr>
      <w:r>
        <w:rPr>
          <w:rFonts w:hint="default" w:ascii="宋体" w:hAnsi="宋体" w:cs="宋体"/>
          <w:color w:val="000000" w:themeColor="text1"/>
          <w:kern w:val="0"/>
          <w:szCs w:val="21"/>
          <w:lang w:eastAsia="zh-CN"/>
          <w14:textFill>
            <w14:solidFill>
              <w14:schemeClr w14:val="tx1"/>
            </w14:solidFill>
          </w14:textFill>
        </w:rPr>
        <w:t>（</w:t>
      </w:r>
      <w:r>
        <w:rPr>
          <w:rFonts w:hint="eastAsia" w:ascii="宋体" w:hAnsi="宋体" w:cs="宋体"/>
          <w:color w:val="000000" w:themeColor="text1"/>
          <w:kern w:val="0"/>
          <w:szCs w:val="21"/>
          <w:lang w:val="en-US" w:eastAsia="zh-CN"/>
          <w14:textFill>
            <w14:solidFill>
              <w14:schemeClr w14:val="tx1"/>
            </w14:solidFill>
          </w14:textFill>
        </w:rPr>
        <w:t>4</w:t>
      </w:r>
      <w:r>
        <w:rPr>
          <w:rFonts w:hint="default" w:ascii="宋体" w:hAnsi="宋体" w:cs="宋体"/>
          <w:color w:val="000000" w:themeColor="text1"/>
          <w:kern w:val="0"/>
          <w:szCs w:val="21"/>
          <w:lang w:eastAsia="zh-CN"/>
          <w14:textFill>
            <w14:solidFill>
              <w14:schemeClr w14:val="tx1"/>
            </w14:solidFill>
          </w14:textFill>
        </w:rPr>
        <w:t>）</w:t>
      </w:r>
      <w:r>
        <w:rPr>
          <w:rFonts w:hint="eastAsia" w:ascii="宋体" w:hAnsi="宋体" w:cs="宋体"/>
          <w:color w:val="000000" w:themeColor="text1"/>
          <w:kern w:val="0"/>
          <w:szCs w:val="21"/>
          <w:lang w:val="en-US" w:eastAsia="zh-CN"/>
          <w14:textFill>
            <w14:solidFill>
              <w14:schemeClr w14:val="tx1"/>
            </w14:solidFill>
          </w14:textFill>
        </w:rPr>
        <w:t>购买成功后，选择“查看我的基金”，跳转持仓页面；选择“完成”，跳转“基金市场”。</w:t>
      </w:r>
    </w:p>
    <w:p>
      <w:pPr>
        <w:widowControl/>
        <w:numPr>
          <w:ilvl w:val="0"/>
          <w:numId w:val="2"/>
        </w:numPr>
        <w:shd w:val="clear" w:color="auto" w:fill="FFFFFF"/>
        <w:ind w:firstLine="420" w:firstLineChars="200"/>
        <w:jc w:val="left"/>
        <w:rPr>
          <w:rFonts w:hint="eastAsia" w:ascii="宋体" w:hAnsi="宋体" w:cs="宋体"/>
          <w:color w:val="000000" w:themeColor="text1"/>
          <w:kern w:val="0"/>
          <w:szCs w:val="21"/>
          <w:lang w:eastAsia="zh-CN"/>
          <w14:textFill>
            <w14:solidFill>
              <w14:schemeClr w14:val="tx1"/>
            </w14:solidFill>
          </w14:textFill>
        </w:rPr>
      </w:pPr>
      <w:r>
        <w:rPr>
          <w:rFonts w:hint="eastAsia" w:ascii="宋体" w:hAnsi="宋体" w:cs="宋体"/>
          <w:color w:val="000000" w:themeColor="text1"/>
          <w:kern w:val="0"/>
          <w:szCs w:val="21"/>
          <w:lang w:eastAsia="zh-CN"/>
          <w14:textFill>
            <w14:solidFill>
              <w14:schemeClr w14:val="tx1"/>
            </w14:solidFill>
          </w14:textFill>
        </w:rPr>
        <w:t>基金定投</w:t>
      </w:r>
    </w:p>
    <w:p>
      <w:pPr>
        <w:widowControl/>
        <w:numPr>
          <w:ilvl w:val="0"/>
          <w:numId w:val="0"/>
        </w:numPr>
        <w:shd w:val="clear" w:color="auto" w:fill="FFFFFF"/>
        <w:ind w:firstLine="420" w:firstLineChars="200"/>
        <w:jc w:val="left"/>
        <w:rPr>
          <w:rFonts w:hint="eastAsia" w:ascii="宋体" w:hAnsi="宋体" w:cs="宋体"/>
          <w:color w:val="000000" w:themeColor="text1"/>
          <w:kern w:val="0"/>
          <w:szCs w:val="21"/>
          <w:lang w:val="en-US" w:eastAsia="zh-CN"/>
          <w14:textFill>
            <w14:solidFill>
              <w14:schemeClr w14:val="tx1"/>
            </w14:solidFill>
          </w14:textFill>
        </w:rPr>
      </w:pPr>
      <w:r>
        <w:rPr>
          <w:rFonts w:hint="default" w:ascii="宋体" w:hAnsi="宋体" w:cs="宋体"/>
          <w:color w:val="000000" w:themeColor="text1"/>
          <w:kern w:val="0"/>
          <w:szCs w:val="21"/>
          <w:lang w:val="en-US" w:eastAsia="zh-CN"/>
          <w14:textFill>
            <w14:solidFill>
              <w14:schemeClr w14:val="tx1"/>
            </w14:solidFill>
          </w14:textFill>
        </w:rPr>
        <w:t>（</w:t>
      </w:r>
      <w:r>
        <w:rPr>
          <w:rFonts w:hint="eastAsia" w:ascii="宋体" w:hAnsi="宋体" w:cs="宋体"/>
          <w:color w:val="000000" w:themeColor="text1"/>
          <w:kern w:val="0"/>
          <w:szCs w:val="21"/>
          <w:lang w:val="en-US" w:eastAsia="zh-CN"/>
          <w14:textFill>
            <w14:solidFill>
              <w14:schemeClr w14:val="tx1"/>
            </w14:solidFill>
          </w14:textFill>
        </w:rPr>
        <w:t>1</w:t>
      </w:r>
      <w:r>
        <w:rPr>
          <w:rFonts w:hint="default" w:ascii="宋体" w:hAnsi="宋体" w:cs="宋体"/>
          <w:color w:val="000000" w:themeColor="text1"/>
          <w:kern w:val="0"/>
          <w:szCs w:val="21"/>
          <w:lang w:val="en-US" w:eastAsia="zh-CN"/>
          <w14:textFill>
            <w14:solidFill>
              <w14:schemeClr w14:val="tx1"/>
            </w14:solidFill>
          </w14:textFill>
        </w:rPr>
        <w:t>）</w:t>
      </w:r>
      <w:r>
        <w:rPr>
          <w:rFonts w:hint="eastAsia" w:ascii="宋体" w:hAnsi="宋体" w:cs="宋体"/>
          <w:color w:val="000000" w:themeColor="text1"/>
          <w:kern w:val="0"/>
          <w:szCs w:val="21"/>
          <w:lang w:val="en-US" w:eastAsia="zh-CN"/>
          <w14:textFill>
            <w14:solidFill>
              <w14:schemeClr w14:val="tx1"/>
            </w14:solidFill>
          </w14:textFill>
        </w:rPr>
        <w:t>打开我行手机银行，在“首页”或“投资”页面选择“基金”进入基金市场；</w:t>
      </w:r>
    </w:p>
    <w:p>
      <w:pPr>
        <w:widowControl/>
        <w:numPr>
          <w:ilvl w:val="0"/>
          <w:numId w:val="0"/>
        </w:numPr>
        <w:shd w:val="clear" w:color="auto" w:fill="FFFFFF"/>
        <w:ind w:firstLine="420" w:firstLineChars="200"/>
        <w:jc w:val="left"/>
        <w:rPr>
          <w:rFonts w:hint="eastAsia" w:ascii="宋体" w:hAnsi="宋体" w:cs="宋体"/>
          <w:color w:val="000000" w:themeColor="text1"/>
          <w:kern w:val="0"/>
          <w:szCs w:val="21"/>
          <w:lang w:val="en-US" w:eastAsia="zh-CN"/>
          <w14:textFill>
            <w14:solidFill>
              <w14:schemeClr w14:val="tx1"/>
            </w14:solidFill>
          </w14:textFill>
        </w:rPr>
      </w:pPr>
      <w:r>
        <w:rPr>
          <w:rFonts w:hint="default" w:ascii="宋体" w:hAnsi="宋体" w:cs="宋体"/>
          <w:color w:val="000000" w:themeColor="text1"/>
          <w:kern w:val="0"/>
          <w:szCs w:val="21"/>
          <w:lang w:val="en-US" w:eastAsia="zh-CN"/>
          <w14:textFill>
            <w14:solidFill>
              <w14:schemeClr w14:val="tx1"/>
            </w14:solidFill>
          </w14:textFill>
        </w:rPr>
        <w:t>（</w:t>
      </w:r>
      <w:r>
        <w:rPr>
          <w:rFonts w:hint="eastAsia" w:ascii="宋体" w:hAnsi="宋体" w:cs="宋体"/>
          <w:color w:val="000000" w:themeColor="text1"/>
          <w:kern w:val="0"/>
          <w:szCs w:val="21"/>
          <w:lang w:val="en-US" w:eastAsia="zh-CN"/>
          <w14:textFill>
            <w14:solidFill>
              <w14:schemeClr w14:val="tx1"/>
            </w14:solidFill>
          </w14:textFill>
        </w:rPr>
        <w:t>2</w:t>
      </w:r>
      <w:r>
        <w:rPr>
          <w:rFonts w:hint="default" w:ascii="宋体" w:hAnsi="宋体" w:cs="宋体"/>
          <w:color w:val="000000" w:themeColor="text1"/>
          <w:kern w:val="0"/>
          <w:szCs w:val="21"/>
          <w:lang w:val="en-US" w:eastAsia="zh-CN"/>
          <w14:textFill>
            <w14:solidFill>
              <w14:schemeClr w14:val="tx1"/>
            </w14:solidFill>
          </w14:textFill>
        </w:rPr>
        <w:t>）</w:t>
      </w:r>
      <w:r>
        <w:rPr>
          <w:rFonts w:hint="eastAsia" w:ascii="宋体" w:hAnsi="宋体" w:cs="宋体"/>
          <w:color w:val="000000" w:themeColor="text1"/>
          <w:kern w:val="0"/>
          <w:szCs w:val="21"/>
          <w:lang w:val="en-US" w:eastAsia="zh-CN"/>
          <w14:textFill>
            <w14:solidFill>
              <w14:schemeClr w14:val="tx1"/>
            </w14:solidFill>
          </w14:textFill>
        </w:rPr>
        <w:t>在“基金市场”，选择一款基金产品，选择“立即定投”，进入“风险承受能力确认”页面，选择“不同意”返回上一页，选择“同意”进入定投页面；</w:t>
      </w:r>
    </w:p>
    <w:p>
      <w:pPr>
        <w:widowControl/>
        <w:numPr>
          <w:ilvl w:val="0"/>
          <w:numId w:val="0"/>
        </w:numPr>
        <w:shd w:val="clear" w:color="auto" w:fill="FFFFFF"/>
        <w:ind w:firstLine="420" w:firstLineChars="200"/>
        <w:jc w:val="left"/>
        <w:rPr>
          <w:rFonts w:hint="eastAsia" w:ascii="宋体" w:hAnsi="宋体" w:cs="宋体"/>
          <w:color w:val="000000" w:themeColor="text1"/>
          <w:kern w:val="0"/>
          <w:szCs w:val="21"/>
          <w:lang w:val="en-US" w:eastAsia="zh-CN"/>
          <w14:textFill>
            <w14:solidFill>
              <w14:schemeClr w14:val="tx1"/>
            </w14:solidFill>
          </w14:textFill>
        </w:rPr>
      </w:pPr>
      <w:r>
        <w:rPr>
          <w:rFonts w:hint="default" w:ascii="宋体" w:hAnsi="宋体" w:cs="宋体"/>
          <w:color w:val="000000" w:themeColor="text1"/>
          <w:kern w:val="0"/>
          <w:szCs w:val="21"/>
          <w:lang w:val="en-US" w:eastAsia="zh-CN"/>
          <w14:textFill>
            <w14:solidFill>
              <w14:schemeClr w14:val="tx1"/>
            </w14:solidFill>
          </w14:textFill>
        </w:rPr>
        <w:t>（</w:t>
      </w:r>
      <w:r>
        <w:rPr>
          <w:rFonts w:hint="eastAsia" w:ascii="宋体" w:hAnsi="宋体" w:cs="宋体"/>
          <w:color w:val="000000" w:themeColor="text1"/>
          <w:kern w:val="0"/>
          <w:szCs w:val="21"/>
          <w:lang w:val="en-US" w:eastAsia="zh-CN"/>
          <w14:textFill>
            <w14:solidFill>
              <w14:schemeClr w14:val="tx1"/>
            </w14:solidFill>
          </w14:textFill>
        </w:rPr>
        <w:t>3</w:t>
      </w:r>
      <w:r>
        <w:rPr>
          <w:rFonts w:hint="default" w:ascii="宋体" w:hAnsi="宋体" w:cs="宋体"/>
          <w:color w:val="000000" w:themeColor="text1"/>
          <w:kern w:val="0"/>
          <w:szCs w:val="21"/>
          <w:lang w:val="en-US" w:eastAsia="zh-CN"/>
          <w14:textFill>
            <w14:solidFill>
              <w14:schemeClr w14:val="tx1"/>
            </w14:solidFill>
          </w14:textFill>
        </w:rPr>
        <w:t>）</w:t>
      </w:r>
      <w:r>
        <w:rPr>
          <w:rFonts w:hint="eastAsia" w:ascii="宋体" w:hAnsi="宋体" w:cs="宋体"/>
          <w:color w:val="000000" w:themeColor="text1"/>
          <w:kern w:val="0"/>
          <w:szCs w:val="21"/>
          <w:lang w:val="en-US" w:eastAsia="zh-CN"/>
          <w14:textFill>
            <w14:solidFill>
              <w14:schemeClr w14:val="tx1"/>
            </w14:solidFill>
          </w14:textFill>
        </w:rPr>
        <w:t>输入金额，确认付款账号，选择定投周期（可选择每月/每周/每两周/每日），确定投资日，终止方式（可不填），填写客户经理（可不填），勾选须知跳转基金协议页面，需滑动至下面，且阅读时间不低于5秒，阅读完毕后选择同意再进行购买，确认后输入密码，定投计划开通成功。</w:t>
      </w:r>
    </w:p>
    <w:p>
      <w:pPr>
        <w:widowControl/>
        <w:numPr>
          <w:ilvl w:val="0"/>
          <w:numId w:val="0"/>
        </w:numPr>
        <w:shd w:val="clear" w:color="auto" w:fill="FFFFFF"/>
        <w:ind w:firstLine="420" w:firstLineChars="200"/>
        <w:jc w:val="left"/>
        <w:rPr>
          <w:rFonts w:hint="eastAsia" w:ascii="宋体" w:hAnsi="宋体" w:cs="宋体"/>
          <w:color w:val="000000" w:themeColor="text1"/>
          <w:kern w:val="0"/>
          <w:szCs w:val="21"/>
          <w14:textFill>
            <w14:solidFill>
              <w14:schemeClr w14:val="tx1"/>
            </w14:solidFill>
          </w14:textFill>
        </w:rPr>
      </w:pPr>
      <w:r>
        <w:rPr>
          <w:rFonts w:hint="default" w:ascii="宋体" w:hAnsi="宋体" w:cs="宋体"/>
          <w:color w:val="000000" w:themeColor="text1"/>
          <w:kern w:val="0"/>
          <w:szCs w:val="21"/>
          <w:lang w:val="en-US" w:eastAsia="zh-CN"/>
          <w14:textFill>
            <w14:solidFill>
              <w14:schemeClr w14:val="tx1"/>
            </w14:solidFill>
          </w14:textFill>
        </w:rPr>
        <w:t>（</w:t>
      </w:r>
      <w:r>
        <w:rPr>
          <w:rFonts w:hint="eastAsia" w:ascii="宋体" w:hAnsi="宋体" w:cs="宋体"/>
          <w:color w:val="000000" w:themeColor="text1"/>
          <w:kern w:val="0"/>
          <w:szCs w:val="21"/>
          <w:lang w:val="en-US" w:eastAsia="zh-CN"/>
          <w14:textFill>
            <w14:solidFill>
              <w14:schemeClr w14:val="tx1"/>
            </w14:solidFill>
          </w14:textFill>
        </w:rPr>
        <w:t>4</w:t>
      </w:r>
      <w:r>
        <w:rPr>
          <w:rFonts w:hint="default" w:ascii="宋体" w:hAnsi="宋体" w:cs="宋体"/>
          <w:color w:val="000000" w:themeColor="text1"/>
          <w:kern w:val="0"/>
          <w:szCs w:val="21"/>
          <w:lang w:val="en-US" w:eastAsia="zh-CN"/>
          <w14:textFill>
            <w14:solidFill>
              <w14:schemeClr w14:val="tx1"/>
            </w14:solidFill>
          </w14:textFill>
        </w:rPr>
        <w:t>）</w:t>
      </w:r>
      <w:r>
        <w:rPr>
          <w:rFonts w:hint="eastAsia" w:ascii="宋体" w:hAnsi="宋体" w:cs="宋体"/>
          <w:color w:val="000000" w:themeColor="text1"/>
          <w:kern w:val="0"/>
          <w:szCs w:val="21"/>
          <w:lang w:val="en-US" w:eastAsia="zh-CN"/>
          <w14:textFill>
            <w14:solidFill>
              <w14:schemeClr w14:val="tx1"/>
            </w14:solidFill>
          </w14:textFill>
        </w:rPr>
        <w:t>定投计划开通成功后，选择“查看我的定投计划”，跳转“我的定投”页面；选择“完成”，跳转“基金市场”</w:t>
      </w:r>
      <w:r>
        <w:rPr>
          <w:rFonts w:hint="eastAsia" w:ascii="宋体" w:hAnsi="宋体" w:cs="宋体"/>
          <w:color w:val="000000" w:themeColor="text1"/>
          <w:kern w:val="0"/>
          <w:szCs w:val="21"/>
          <w:lang w:eastAsia="zh-CN"/>
          <w14:textFill>
            <w14:solidFill>
              <w14:schemeClr w14:val="tx1"/>
            </w14:solidFill>
          </w14:textFill>
        </w:rPr>
        <w:t>。</w:t>
      </w:r>
    </w:p>
    <w:p>
      <w:pPr>
        <w:widowControl/>
        <w:numPr>
          <w:ilvl w:val="0"/>
          <w:numId w:val="2"/>
        </w:numPr>
        <w:shd w:val="clear" w:color="auto" w:fill="FFFFFF"/>
        <w:ind w:firstLine="420" w:firstLineChars="200"/>
        <w:jc w:val="left"/>
        <w:rPr>
          <w:rFonts w:hint="eastAsia" w:ascii="宋体" w:hAnsi="宋体" w:cs="宋体"/>
          <w:color w:val="000000" w:themeColor="text1"/>
          <w:kern w:val="0"/>
          <w:szCs w:val="21"/>
          <w:lang w:eastAsia="zh-CN"/>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基金</w:t>
      </w:r>
      <w:r>
        <w:rPr>
          <w:rFonts w:hint="eastAsia" w:ascii="宋体" w:hAnsi="宋体" w:cs="宋体"/>
          <w:color w:val="000000" w:themeColor="text1"/>
          <w:kern w:val="0"/>
          <w:szCs w:val="21"/>
          <w:lang w:eastAsia="zh-CN"/>
          <w14:textFill>
            <w14:solidFill>
              <w14:schemeClr w14:val="tx1"/>
            </w14:solidFill>
          </w14:textFill>
        </w:rPr>
        <w:t>赎回</w:t>
      </w:r>
    </w:p>
    <w:p>
      <w:pPr>
        <w:widowControl/>
        <w:numPr>
          <w:ilvl w:val="0"/>
          <w:numId w:val="0"/>
        </w:numPr>
        <w:shd w:val="clear" w:color="auto" w:fill="FFFFFF"/>
        <w:ind w:firstLine="420" w:firstLineChars="200"/>
        <w:jc w:val="left"/>
        <w:rPr>
          <w:rFonts w:hint="eastAsia" w:ascii="宋体" w:hAnsi="宋体" w:cs="宋体"/>
          <w:color w:val="000000" w:themeColor="text1"/>
          <w:kern w:val="0"/>
          <w:szCs w:val="21"/>
          <w:lang w:val="en-US" w:eastAsia="zh-CN"/>
          <w14:textFill>
            <w14:solidFill>
              <w14:schemeClr w14:val="tx1"/>
            </w14:solidFill>
          </w14:textFill>
        </w:rPr>
      </w:pPr>
      <w:r>
        <w:rPr>
          <w:rFonts w:hint="default" w:ascii="宋体" w:hAnsi="宋体" w:cs="宋体"/>
          <w:color w:val="000000" w:themeColor="text1"/>
          <w:kern w:val="0"/>
          <w:szCs w:val="21"/>
          <w:lang w:val="en-US" w:eastAsia="zh-CN"/>
          <w14:textFill>
            <w14:solidFill>
              <w14:schemeClr w14:val="tx1"/>
            </w14:solidFill>
          </w14:textFill>
        </w:rPr>
        <w:t>（</w:t>
      </w:r>
      <w:r>
        <w:rPr>
          <w:rFonts w:hint="eastAsia" w:ascii="宋体" w:hAnsi="宋体" w:cs="宋体"/>
          <w:color w:val="000000" w:themeColor="text1"/>
          <w:kern w:val="0"/>
          <w:szCs w:val="21"/>
          <w:lang w:val="en-US" w:eastAsia="zh-CN"/>
          <w14:textFill>
            <w14:solidFill>
              <w14:schemeClr w14:val="tx1"/>
            </w14:solidFill>
          </w14:textFill>
        </w:rPr>
        <w:t>1</w:t>
      </w:r>
      <w:r>
        <w:rPr>
          <w:rFonts w:hint="default" w:ascii="宋体" w:hAnsi="宋体" w:cs="宋体"/>
          <w:color w:val="000000" w:themeColor="text1"/>
          <w:kern w:val="0"/>
          <w:szCs w:val="21"/>
          <w:lang w:val="en-US" w:eastAsia="zh-CN"/>
          <w14:textFill>
            <w14:solidFill>
              <w14:schemeClr w14:val="tx1"/>
            </w14:solidFill>
          </w14:textFill>
        </w:rPr>
        <w:t>）</w:t>
      </w:r>
      <w:r>
        <w:rPr>
          <w:rFonts w:hint="eastAsia" w:ascii="宋体" w:hAnsi="宋体" w:cs="宋体"/>
          <w:color w:val="000000" w:themeColor="text1"/>
          <w:kern w:val="0"/>
          <w:szCs w:val="21"/>
          <w:lang w:val="en-US" w:eastAsia="zh-CN"/>
          <w14:textFill>
            <w14:solidFill>
              <w14:schemeClr w14:val="tx1"/>
            </w14:solidFill>
          </w14:textFill>
        </w:rPr>
        <w:t>在“资产详情”页选择“赎回”；</w:t>
      </w:r>
    </w:p>
    <w:p>
      <w:pPr>
        <w:widowControl/>
        <w:numPr>
          <w:ilvl w:val="0"/>
          <w:numId w:val="0"/>
        </w:numPr>
        <w:shd w:val="clear" w:color="auto" w:fill="FFFFFF"/>
        <w:ind w:firstLine="420" w:firstLineChars="200"/>
        <w:jc w:val="left"/>
        <w:rPr>
          <w:rFonts w:hint="eastAsia" w:ascii="宋体" w:hAnsi="宋体" w:cs="宋体"/>
          <w:color w:val="000000" w:themeColor="text1"/>
          <w:kern w:val="0"/>
          <w:szCs w:val="21"/>
          <w:lang w:val="en-US" w:eastAsia="zh-CN"/>
          <w14:textFill>
            <w14:solidFill>
              <w14:schemeClr w14:val="tx1"/>
            </w14:solidFill>
          </w14:textFill>
        </w:rPr>
      </w:pPr>
      <w:r>
        <w:rPr>
          <w:rFonts w:hint="default" w:ascii="宋体" w:hAnsi="宋体" w:cs="宋体"/>
          <w:color w:val="000000" w:themeColor="text1"/>
          <w:kern w:val="0"/>
          <w:szCs w:val="21"/>
          <w:lang w:val="en-US" w:eastAsia="zh-CN"/>
          <w14:textFill>
            <w14:solidFill>
              <w14:schemeClr w14:val="tx1"/>
            </w14:solidFill>
          </w14:textFill>
        </w:rPr>
        <w:t>（</w:t>
      </w:r>
      <w:r>
        <w:rPr>
          <w:rFonts w:hint="eastAsia" w:ascii="宋体" w:hAnsi="宋体" w:cs="宋体"/>
          <w:color w:val="000000" w:themeColor="text1"/>
          <w:kern w:val="0"/>
          <w:szCs w:val="21"/>
          <w:lang w:val="en-US" w:eastAsia="zh-CN"/>
          <w14:textFill>
            <w14:solidFill>
              <w14:schemeClr w14:val="tx1"/>
            </w14:solidFill>
          </w14:textFill>
        </w:rPr>
        <w:t>2</w:t>
      </w:r>
      <w:r>
        <w:rPr>
          <w:rFonts w:hint="default" w:ascii="宋体" w:hAnsi="宋体" w:cs="宋体"/>
          <w:color w:val="000000" w:themeColor="text1"/>
          <w:kern w:val="0"/>
          <w:szCs w:val="21"/>
          <w:lang w:val="en-US" w:eastAsia="zh-CN"/>
          <w14:textFill>
            <w14:solidFill>
              <w14:schemeClr w14:val="tx1"/>
            </w14:solidFill>
          </w14:textFill>
        </w:rPr>
        <w:t>）</w:t>
      </w:r>
      <w:r>
        <w:rPr>
          <w:rFonts w:hint="eastAsia" w:ascii="宋体" w:hAnsi="宋体" w:cs="宋体"/>
          <w:color w:val="000000" w:themeColor="text1"/>
          <w:kern w:val="0"/>
          <w:szCs w:val="21"/>
          <w:lang w:val="en-US" w:eastAsia="zh-CN"/>
          <w14:textFill>
            <w14:solidFill>
              <w14:schemeClr w14:val="tx1"/>
            </w14:solidFill>
          </w14:textFill>
        </w:rPr>
        <w:t>输入赎回金额，设置巨额赎回方式（默认顺延赎回）后进行赎回确认；</w:t>
      </w:r>
    </w:p>
    <w:p>
      <w:pPr>
        <w:widowControl/>
        <w:numPr>
          <w:ilvl w:val="0"/>
          <w:numId w:val="0"/>
        </w:numPr>
        <w:shd w:val="clear" w:color="auto" w:fill="FFFFFF"/>
        <w:ind w:firstLine="420" w:firstLineChars="200"/>
        <w:jc w:val="left"/>
        <w:rPr>
          <w:rFonts w:hint="eastAsia" w:ascii="宋体" w:hAnsi="宋体" w:cs="宋体"/>
          <w:color w:val="000000" w:themeColor="text1"/>
          <w:kern w:val="0"/>
          <w:szCs w:val="21"/>
          <w:lang w:val="en-US" w:eastAsia="zh-CN"/>
          <w14:textFill>
            <w14:solidFill>
              <w14:schemeClr w14:val="tx1"/>
            </w14:solidFill>
          </w14:textFill>
        </w:rPr>
      </w:pPr>
      <w:r>
        <w:rPr>
          <w:rFonts w:hint="default" w:ascii="宋体" w:hAnsi="宋体" w:cs="宋体"/>
          <w:color w:val="000000" w:themeColor="text1"/>
          <w:kern w:val="0"/>
          <w:szCs w:val="21"/>
          <w:lang w:val="en-US" w:eastAsia="zh-CN"/>
          <w14:textFill>
            <w14:solidFill>
              <w14:schemeClr w14:val="tx1"/>
            </w14:solidFill>
          </w14:textFill>
        </w:rPr>
        <w:t>（</w:t>
      </w:r>
      <w:r>
        <w:rPr>
          <w:rFonts w:hint="eastAsia" w:ascii="宋体" w:hAnsi="宋体" w:cs="宋体"/>
          <w:color w:val="000000" w:themeColor="text1"/>
          <w:kern w:val="0"/>
          <w:szCs w:val="21"/>
          <w:lang w:val="en-US" w:eastAsia="zh-CN"/>
          <w14:textFill>
            <w14:solidFill>
              <w14:schemeClr w14:val="tx1"/>
            </w14:solidFill>
          </w14:textFill>
        </w:rPr>
        <w:t>3</w:t>
      </w:r>
      <w:r>
        <w:rPr>
          <w:rFonts w:hint="default" w:ascii="宋体" w:hAnsi="宋体" w:cs="宋体"/>
          <w:color w:val="000000" w:themeColor="text1"/>
          <w:kern w:val="0"/>
          <w:szCs w:val="21"/>
          <w:lang w:val="en-US" w:eastAsia="zh-CN"/>
          <w14:textFill>
            <w14:solidFill>
              <w14:schemeClr w14:val="tx1"/>
            </w14:solidFill>
          </w14:textFill>
        </w:rPr>
        <w:t>）</w:t>
      </w:r>
      <w:r>
        <w:rPr>
          <w:rFonts w:hint="eastAsia" w:ascii="宋体" w:hAnsi="宋体" w:cs="宋体"/>
          <w:color w:val="000000" w:themeColor="text1"/>
          <w:kern w:val="0"/>
          <w:szCs w:val="21"/>
          <w:lang w:val="en-US" w:eastAsia="zh-CN"/>
          <w14:textFill>
            <w14:solidFill>
              <w14:schemeClr w14:val="tx1"/>
            </w14:solidFill>
          </w14:textFill>
        </w:rPr>
        <w:t>输入密码，赎回受理成功。</w:t>
      </w:r>
    </w:p>
    <w:p>
      <w:pPr>
        <w:widowControl/>
        <w:numPr>
          <w:ilvl w:val="0"/>
          <w:numId w:val="2"/>
        </w:numPr>
        <w:shd w:val="clear" w:color="auto" w:fill="FFFFFF"/>
        <w:ind w:firstLine="420" w:firstLineChars="200"/>
        <w:jc w:val="left"/>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基金转换</w:t>
      </w:r>
    </w:p>
    <w:p>
      <w:pPr>
        <w:widowControl/>
        <w:numPr>
          <w:ilvl w:val="0"/>
          <w:numId w:val="0"/>
        </w:numPr>
        <w:shd w:val="clear" w:color="auto" w:fill="FFFFFF"/>
        <w:ind w:firstLine="420" w:firstLineChars="200"/>
        <w:jc w:val="left"/>
        <w:rPr>
          <w:rFonts w:hint="eastAsia" w:ascii="宋体" w:hAnsi="宋体" w:cs="宋体"/>
          <w:color w:val="000000" w:themeColor="text1"/>
          <w:kern w:val="0"/>
          <w:szCs w:val="21"/>
          <w:lang w:val="en-US" w:eastAsia="zh-CN"/>
          <w14:textFill>
            <w14:solidFill>
              <w14:schemeClr w14:val="tx1"/>
            </w14:solidFill>
          </w14:textFill>
        </w:rPr>
      </w:pPr>
      <w:r>
        <w:rPr>
          <w:rFonts w:hint="default" w:ascii="宋体" w:hAnsi="宋体" w:cs="宋体"/>
          <w:color w:val="000000" w:themeColor="text1"/>
          <w:kern w:val="0"/>
          <w:szCs w:val="21"/>
          <w:lang w:val="en-US" w:eastAsia="zh-CN"/>
          <w14:textFill>
            <w14:solidFill>
              <w14:schemeClr w14:val="tx1"/>
            </w14:solidFill>
          </w14:textFill>
        </w:rPr>
        <w:t>（</w:t>
      </w:r>
      <w:r>
        <w:rPr>
          <w:rFonts w:hint="eastAsia" w:ascii="宋体" w:hAnsi="宋体" w:cs="宋体"/>
          <w:color w:val="000000" w:themeColor="text1"/>
          <w:kern w:val="0"/>
          <w:szCs w:val="21"/>
          <w:lang w:val="en-US" w:eastAsia="zh-CN"/>
          <w14:textFill>
            <w14:solidFill>
              <w14:schemeClr w14:val="tx1"/>
            </w14:solidFill>
          </w14:textFill>
        </w:rPr>
        <w:t>1</w:t>
      </w:r>
      <w:r>
        <w:rPr>
          <w:rFonts w:hint="default" w:ascii="宋体" w:hAnsi="宋体" w:cs="宋体"/>
          <w:color w:val="000000" w:themeColor="text1"/>
          <w:kern w:val="0"/>
          <w:szCs w:val="21"/>
          <w:lang w:val="en-US" w:eastAsia="zh-CN"/>
          <w14:textFill>
            <w14:solidFill>
              <w14:schemeClr w14:val="tx1"/>
            </w14:solidFill>
          </w14:textFill>
        </w:rPr>
        <w:t>）</w:t>
      </w:r>
      <w:r>
        <w:rPr>
          <w:rFonts w:hint="eastAsia" w:ascii="宋体" w:hAnsi="宋体" w:cs="宋体"/>
          <w:color w:val="000000" w:themeColor="text1"/>
          <w:kern w:val="0"/>
          <w:szCs w:val="21"/>
          <w:lang w:val="en-US" w:eastAsia="zh-CN"/>
          <w14:textFill>
            <w14:solidFill>
              <w14:schemeClr w14:val="tx1"/>
            </w14:solidFill>
          </w14:textFill>
        </w:rPr>
        <w:t>在“资产详情”页选择“转换”；</w:t>
      </w:r>
    </w:p>
    <w:p>
      <w:pPr>
        <w:widowControl/>
        <w:numPr>
          <w:ilvl w:val="0"/>
          <w:numId w:val="0"/>
        </w:numPr>
        <w:shd w:val="clear" w:color="auto" w:fill="FFFFFF"/>
        <w:ind w:firstLine="420" w:firstLineChars="200"/>
        <w:jc w:val="left"/>
        <w:rPr>
          <w:rFonts w:hint="eastAsia" w:ascii="宋体" w:hAnsi="宋体" w:cs="宋体"/>
          <w:color w:val="000000" w:themeColor="text1"/>
          <w:kern w:val="0"/>
          <w:szCs w:val="21"/>
          <w:lang w:val="en-US" w:eastAsia="zh-CN"/>
          <w14:textFill>
            <w14:solidFill>
              <w14:schemeClr w14:val="tx1"/>
            </w14:solidFill>
          </w14:textFill>
        </w:rPr>
      </w:pPr>
      <w:r>
        <w:rPr>
          <w:rFonts w:hint="default" w:ascii="宋体" w:hAnsi="宋体" w:cs="宋体"/>
          <w:color w:val="000000" w:themeColor="text1"/>
          <w:kern w:val="0"/>
          <w:szCs w:val="21"/>
          <w:lang w:val="en-US" w:eastAsia="zh-CN"/>
          <w14:textFill>
            <w14:solidFill>
              <w14:schemeClr w14:val="tx1"/>
            </w14:solidFill>
          </w14:textFill>
        </w:rPr>
        <w:t>（</w:t>
      </w:r>
      <w:r>
        <w:rPr>
          <w:rFonts w:hint="eastAsia" w:ascii="宋体" w:hAnsi="宋体" w:cs="宋体"/>
          <w:color w:val="000000" w:themeColor="text1"/>
          <w:kern w:val="0"/>
          <w:szCs w:val="21"/>
          <w:lang w:val="en-US" w:eastAsia="zh-CN"/>
          <w14:textFill>
            <w14:solidFill>
              <w14:schemeClr w14:val="tx1"/>
            </w14:solidFill>
          </w14:textFill>
        </w:rPr>
        <w:t>2</w:t>
      </w:r>
      <w:r>
        <w:rPr>
          <w:rFonts w:hint="default" w:ascii="宋体" w:hAnsi="宋体" w:cs="宋体"/>
          <w:color w:val="000000" w:themeColor="text1"/>
          <w:kern w:val="0"/>
          <w:szCs w:val="21"/>
          <w:lang w:val="en-US" w:eastAsia="zh-CN"/>
          <w14:textFill>
            <w14:solidFill>
              <w14:schemeClr w14:val="tx1"/>
            </w14:solidFill>
          </w14:textFill>
        </w:rPr>
        <w:t>）</w:t>
      </w:r>
      <w:r>
        <w:rPr>
          <w:rFonts w:hint="eastAsia" w:ascii="宋体" w:hAnsi="宋体" w:cs="宋体"/>
          <w:color w:val="000000" w:themeColor="text1"/>
          <w:kern w:val="0"/>
          <w:szCs w:val="21"/>
          <w:lang w:val="en-US" w:eastAsia="zh-CN"/>
          <w14:textFill>
            <w14:solidFill>
              <w14:schemeClr w14:val="tx1"/>
            </w14:solidFill>
          </w14:textFill>
        </w:rPr>
        <w:t>选择目标基金，进行风险承受能力确认，输入转换金额，勾选须知后进行转换确认。</w:t>
      </w:r>
    </w:p>
    <w:p>
      <w:pPr>
        <w:widowControl/>
        <w:numPr>
          <w:ilvl w:val="0"/>
          <w:numId w:val="0"/>
        </w:numPr>
        <w:shd w:val="clear" w:color="auto" w:fill="FFFFFF"/>
        <w:ind w:firstLine="420" w:firstLineChars="200"/>
        <w:jc w:val="left"/>
        <w:rPr>
          <w:rFonts w:hint="eastAsia" w:ascii="宋体" w:hAnsi="宋体" w:cs="宋体"/>
          <w:color w:val="000000" w:themeColor="text1"/>
          <w:kern w:val="0"/>
          <w:szCs w:val="21"/>
          <w:lang w:val="en-US" w:eastAsia="zh-CN"/>
          <w14:textFill>
            <w14:solidFill>
              <w14:schemeClr w14:val="tx1"/>
            </w14:solidFill>
          </w14:textFill>
        </w:rPr>
      </w:pPr>
      <w:r>
        <w:rPr>
          <w:rFonts w:hint="default" w:ascii="宋体" w:hAnsi="宋体" w:cs="宋体"/>
          <w:color w:val="000000" w:themeColor="text1"/>
          <w:kern w:val="0"/>
          <w:szCs w:val="21"/>
          <w:lang w:val="en-US" w:eastAsia="zh-CN"/>
          <w14:textFill>
            <w14:solidFill>
              <w14:schemeClr w14:val="tx1"/>
            </w14:solidFill>
          </w14:textFill>
        </w:rPr>
        <w:t>（</w:t>
      </w:r>
      <w:r>
        <w:rPr>
          <w:rFonts w:hint="eastAsia" w:ascii="宋体" w:hAnsi="宋体" w:cs="宋体"/>
          <w:color w:val="000000" w:themeColor="text1"/>
          <w:kern w:val="0"/>
          <w:szCs w:val="21"/>
          <w:lang w:val="en-US" w:eastAsia="zh-CN"/>
          <w14:textFill>
            <w14:solidFill>
              <w14:schemeClr w14:val="tx1"/>
            </w14:solidFill>
          </w14:textFill>
        </w:rPr>
        <w:t>3</w:t>
      </w:r>
      <w:r>
        <w:rPr>
          <w:rFonts w:hint="default" w:ascii="宋体" w:hAnsi="宋体" w:cs="宋体"/>
          <w:color w:val="000000" w:themeColor="text1"/>
          <w:kern w:val="0"/>
          <w:szCs w:val="21"/>
          <w:lang w:val="en-US" w:eastAsia="zh-CN"/>
          <w14:textFill>
            <w14:solidFill>
              <w14:schemeClr w14:val="tx1"/>
            </w14:solidFill>
          </w14:textFill>
        </w:rPr>
        <w:t>）</w:t>
      </w:r>
      <w:r>
        <w:rPr>
          <w:rFonts w:hint="eastAsia" w:ascii="宋体" w:hAnsi="宋体" w:cs="宋体"/>
          <w:color w:val="000000" w:themeColor="text1"/>
          <w:kern w:val="0"/>
          <w:szCs w:val="21"/>
          <w:lang w:val="en-US" w:eastAsia="zh-CN"/>
          <w14:textFill>
            <w14:solidFill>
              <w14:schemeClr w14:val="tx1"/>
            </w14:solidFill>
          </w14:textFill>
        </w:rPr>
        <w:t>输入密码，转换受理成功。</w:t>
      </w:r>
    </w:p>
    <w:p>
      <w:pPr>
        <w:widowControl/>
        <w:numPr>
          <w:ilvl w:val="0"/>
          <w:numId w:val="2"/>
        </w:numPr>
        <w:shd w:val="clear" w:color="auto" w:fill="FFFFFF"/>
        <w:ind w:firstLine="420" w:firstLineChars="200"/>
        <w:jc w:val="left"/>
        <w:rPr>
          <w:rFonts w:hint="eastAsia" w:ascii="宋体" w:hAnsi="宋体" w:cs="宋体"/>
          <w:color w:val="000000" w:themeColor="text1"/>
          <w:kern w:val="0"/>
          <w:szCs w:val="21"/>
          <w14:textFill>
            <w14:solidFill>
              <w14:schemeClr w14:val="tx1"/>
            </w14:solidFill>
          </w14:textFill>
        </w:rPr>
      </w:pPr>
      <w:r>
        <w:rPr>
          <w:rFonts w:hint="default" w:ascii="宋体" w:hAnsi="宋体" w:cs="宋体"/>
          <w:color w:val="000000" w:themeColor="text1"/>
          <w:kern w:val="0"/>
          <w:szCs w:val="21"/>
          <w14:textFill>
            <w14:solidFill>
              <w14:schemeClr w14:val="tx1"/>
            </w14:solidFill>
          </w14:textFill>
        </w:rPr>
        <w:t xml:space="preserve"> </w:t>
      </w:r>
      <w:r>
        <w:rPr>
          <w:rFonts w:hint="eastAsia" w:ascii="宋体" w:hAnsi="宋体" w:cs="宋体"/>
          <w:color w:val="000000" w:themeColor="text1"/>
          <w:kern w:val="0"/>
          <w:szCs w:val="21"/>
          <w14:textFill>
            <w14:solidFill>
              <w14:schemeClr w14:val="tx1"/>
            </w14:solidFill>
          </w14:textFill>
        </w:rPr>
        <w:t>变更分红方式</w:t>
      </w:r>
    </w:p>
    <w:p>
      <w:pPr>
        <w:widowControl/>
        <w:numPr>
          <w:ilvl w:val="0"/>
          <w:numId w:val="0"/>
        </w:numPr>
        <w:shd w:val="clear" w:color="auto" w:fill="FFFFFF"/>
        <w:ind w:firstLine="420" w:firstLineChars="200"/>
        <w:jc w:val="left"/>
        <w:rPr>
          <w:rFonts w:hint="eastAsia" w:ascii="宋体" w:hAnsi="宋体" w:cs="宋体"/>
          <w:color w:val="000000" w:themeColor="text1"/>
          <w:kern w:val="0"/>
          <w:szCs w:val="21"/>
          <w:lang w:val="en-US" w:eastAsia="zh-CN"/>
          <w14:textFill>
            <w14:solidFill>
              <w14:schemeClr w14:val="tx1"/>
            </w14:solidFill>
          </w14:textFill>
        </w:rPr>
      </w:pPr>
      <w:r>
        <w:rPr>
          <w:rFonts w:hint="default" w:ascii="宋体" w:hAnsi="宋体" w:cs="宋体"/>
          <w:color w:val="000000" w:themeColor="text1"/>
          <w:kern w:val="0"/>
          <w:szCs w:val="21"/>
          <w:lang w:val="en-US" w:eastAsia="zh-CN"/>
          <w14:textFill>
            <w14:solidFill>
              <w14:schemeClr w14:val="tx1"/>
            </w14:solidFill>
          </w14:textFill>
        </w:rPr>
        <w:t>（</w:t>
      </w:r>
      <w:r>
        <w:rPr>
          <w:rFonts w:hint="eastAsia" w:ascii="宋体" w:hAnsi="宋体" w:cs="宋体"/>
          <w:color w:val="000000" w:themeColor="text1"/>
          <w:kern w:val="0"/>
          <w:szCs w:val="21"/>
          <w:lang w:val="en-US" w:eastAsia="zh-CN"/>
          <w14:textFill>
            <w14:solidFill>
              <w14:schemeClr w14:val="tx1"/>
            </w14:solidFill>
          </w14:textFill>
        </w:rPr>
        <w:t>1</w:t>
      </w:r>
      <w:r>
        <w:rPr>
          <w:rFonts w:hint="default" w:ascii="宋体" w:hAnsi="宋体" w:cs="宋体"/>
          <w:color w:val="000000" w:themeColor="text1"/>
          <w:kern w:val="0"/>
          <w:szCs w:val="21"/>
          <w:lang w:val="en-US" w:eastAsia="zh-CN"/>
          <w14:textFill>
            <w14:solidFill>
              <w14:schemeClr w14:val="tx1"/>
            </w14:solidFill>
          </w14:textFill>
        </w:rPr>
        <w:t>）</w:t>
      </w:r>
      <w:r>
        <w:rPr>
          <w:rFonts w:hint="eastAsia" w:ascii="宋体" w:hAnsi="宋体" w:cs="宋体"/>
          <w:color w:val="000000" w:themeColor="text1"/>
          <w:kern w:val="0"/>
          <w:szCs w:val="21"/>
          <w:lang w:val="en-US" w:eastAsia="zh-CN"/>
          <w14:textFill>
            <w14:solidFill>
              <w14:schemeClr w14:val="tx1"/>
            </w14:solidFill>
          </w14:textFill>
        </w:rPr>
        <w:t>在“资产详情”页选择“分红方式更改”；</w:t>
      </w:r>
    </w:p>
    <w:p>
      <w:pPr>
        <w:widowControl/>
        <w:numPr>
          <w:ilvl w:val="0"/>
          <w:numId w:val="0"/>
        </w:numPr>
        <w:shd w:val="clear" w:color="auto" w:fill="FFFFFF"/>
        <w:ind w:firstLine="420" w:firstLineChars="200"/>
        <w:jc w:val="left"/>
        <w:rPr>
          <w:rFonts w:hint="eastAsia" w:ascii="宋体" w:hAnsi="宋体" w:cs="宋体"/>
          <w:color w:val="000000" w:themeColor="text1"/>
          <w:kern w:val="0"/>
          <w:szCs w:val="21"/>
          <w:lang w:val="en-US" w:eastAsia="zh-CN"/>
          <w14:textFill>
            <w14:solidFill>
              <w14:schemeClr w14:val="tx1"/>
            </w14:solidFill>
          </w14:textFill>
        </w:rPr>
      </w:pPr>
      <w:r>
        <w:rPr>
          <w:rFonts w:hint="default" w:ascii="宋体" w:hAnsi="宋体" w:cs="宋体"/>
          <w:color w:val="000000" w:themeColor="text1"/>
          <w:kern w:val="0"/>
          <w:szCs w:val="21"/>
          <w:lang w:val="en-US" w:eastAsia="zh-CN"/>
          <w14:textFill>
            <w14:solidFill>
              <w14:schemeClr w14:val="tx1"/>
            </w14:solidFill>
          </w14:textFill>
        </w:rPr>
        <w:t>（</w:t>
      </w:r>
      <w:r>
        <w:rPr>
          <w:rFonts w:hint="eastAsia" w:ascii="宋体" w:hAnsi="宋体" w:cs="宋体"/>
          <w:color w:val="000000" w:themeColor="text1"/>
          <w:kern w:val="0"/>
          <w:szCs w:val="21"/>
          <w:lang w:val="en-US" w:eastAsia="zh-CN"/>
          <w14:textFill>
            <w14:solidFill>
              <w14:schemeClr w14:val="tx1"/>
            </w14:solidFill>
          </w14:textFill>
        </w:rPr>
        <w:t>2</w:t>
      </w:r>
      <w:r>
        <w:rPr>
          <w:rFonts w:hint="default" w:ascii="宋体" w:hAnsi="宋体" w:cs="宋体"/>
          <w:color w:val="000000" w:themeColor="text1"/>
          <w:kern w:val="0"/>
          <w:szCs w:val="21"/>
          <w:lang w:val="en-US" w:eastAsia="zh-CN"/>
          <w14:textFill>
            <w14:solidFill>
              <w14:schemeClr w14:val="tx1"/>
            </w14:solidFill>
          </w14:textFill>
        </w:rPr>
        <w:t>）</w:t>
      </w:r>
      <w:r>
        <w:rPr>
          <w:rFonts w:hint="eastAsia" w:ascii="宋体" w:hAnsi="宋体" w:cs="宋体"/>
          <w:color w:val="000000" w:themeColor="text1"/>
          <w:kern w:val="0"/>
          <w:szCs w:val="21"/>
          <w:lang w:val="en-US" w:eastAsia="zh-CN"/>
          <w14:textFill>
            <w14:solidFill>
              <w14:schemeClr w14:val="tx1"/>
            </w14:solidFill>
          </w14:textFill>
        </w:rPr>
        <w:t>根据交易界面提示选择目标分红方式：红利再投或现金分红并确认；</w:t>
      </w:r>
    </w:p>
    <w:p>
      <w:pPr>
        <w:widowControl/>
        <w:numPr>
          <w:ilvl w:val="0"/>
          <w:numId w:val="0"/>
        </w:numPr>
        <w:shd w:val="clear" w:color="auto" w:fill="FFFFFF"/>
        <w:ind w:firstLine="420" w:firstLineChars="200"/>
        <w:jc w:val="left"/>
        <w:rPr>
          <w:rFonts w:hint="eastAsia" w:ascii="宋体" w:hAnsi="宋体" w:cs="宋体"/>
          <w:color w:val="000000" w:themeColor="text1"/>
          <w:kern w:val="0"/>
          <w:szCs w:val="21"/>
          <w:lang w:val="en-US" w:eastAsia="zh-CN"/>
          <w14:textFill>
            <w14:solidFill>
              <w14:schemeClr w14:val="tx1"/>
            </w14:solidFill>
          </w14:textFill>
        </w:rPr>
      </w:pPr>
      <w:r>
        <w:rPr>
          <w:rFonts w:hint="default" w:ascii="宋体" w:hAnsi="宋体" w:cs="宋体"/>
          <w:color w:val="000000" w:themeColor="text1"/>
          <w:kern w:val="0"/>
          <w:szCs w:val="21"/>
          <w:lang w:val="en-US" w:eastAsia="zh-CN"/>
          <w14:textFill>
            <w14:solidFill>
              <w14:schemeClr w14:val="tx1"/>
            </w14:solidFill>
          </w14:textFill>
        </w:rPr>
        <w:t>（</w:t>
      </w:r>
      <w:r>
        <w:rPr>
          <w:rFonts w:hint="eastAsia" w:ascii="宋体" w:hAnsi="宋体" w:cs="宋体"/>
          <w:color w:val="000000" w:themeColor="text1"/>
          <w:kern w:val="0"/>
          <w:szCs w:val="21"/>
          <w:lang w:val="en-US" w:eastAsia="zh-CN"/>
          <w14:textFill>
            <w14:solidFill>
              <w14:schemeClr w14:val="tx1"/>
            </w14:solidFill>
          </w14:textFill>
        </w:rPr>
        <w:t>3</w:t>
      </w:r>
      <w:r>
        <w:rPr>
          <w:rFonts w:hint="default" w:ascii="宋体" w:hAnsi="宋体" w:cs="宋体"/>
          <w:color w:val="000000" w:themeColor="text1"/>
          <w:kern w:val="0"/>
          <w:szCs w:val="21"/>
          <w:lang w:val="en-US" w:eastAsia="zh-CN"/>
          <w14:textFill>
            <w14:solidFill>
              <w14:schemeClr w14:val="tx1"/>
            </w14:solidFill>
          </w14:textFill>
        </w:rPr>
        <w:t>）</w:t>
      </w:r>
      <w:r>
        <w:rPr>
          <w:rFonts w:hint="eastAsia" w:ascii="宋体" w:hAnsi="宋体" w:cs="宋体"/>
          <w:color w:val="000000" w:themeColor="text1"/>
          <w:kern w:val="0"/>
          <w:szCs w:val="21"/>
          <w:lang w:val="en-US" w:eastAsia="zh-CN"/>
          <w14:textFill>
            <w14:solidFill>
              <w14:schemeClr w14:val="tx1"/>
            </w14:solidFill>
          </w14:textFill>
        </w:rPr>
        <w:t>输入密码，变更分红方式受理成功。</w:t>
      </w:r>
    </w:p>
    <w:p>
      <w:pPr>
        <w:widowControl/>
        <w:numPr>
          <w:ilvl w:val="0"/>
          <w:numId w:val="0"/>
        </w:numPr>
        <w:shd w:val="clear" w:color="auto" w:fill="FFFFFF"/>
        <w:ind w:firstLine="420" w:firstLineChars="200"/>
        <w:jc w:val="left"/>
        <w:rPr>
          <w:rFonts w:hint="eastAsia" w:ascii="宋体" w:hAnsi="宋体" w:cs="宋体"/>
          <w:color w:val="000000" w:themeColor="text1"/>
          <w:kern w:val="0"/>
          <w:szCs w:val="21"/>
          <w:lang w:val="en-US" w:eastAsia="zh-CN"/>
          <w14:textFill>
            <w14:solidFill>
              <w14:schemeClr w14:val="tx1"/>
            </w14:solidFill>
          </w14:textFill>
        </w:rPr>
      </w:pPr>
      <w:r>
        <w:rPr>
          <w:rFonts w:hint="eastAsia" w:ascii="宋体" w:hAnsi="宋体" w:cs="宋体"/>
          <w:color w:val="000000" w:themeColor="text1"/>
          <w:kern w:val="0"/>
          <w:szCs w:val="21"/>
          <w:lang w:val="en-US" w:eastAsia="zh-CN"/>
          <w14:textFill>
            <w14:solidFill>
              <w14:schemeClr w14:val="tx1"/>
            </w14:solidFill>
          </w14:textFill>
        </w:rPr>
        <w:t>（七） 基金撤单</w:t>
      </w:r>
    </w:p>
    <w:p>
      <w:pPr>
        <w:widowControl/>
        <w:numPr>
          <w:ilvl w:val="0"/>
          <w:numId w:val="0"/>
        </w:numPr>
        <w:shd w:val="clear" w:color="auto" w:fill="FFFFFF"/>
        <w:ind w:firstLine="420" w:firstLineChars="200"/>
        <w:jc w:val="left"/>
        <w:rPr>
          <w:rFonts w:hint="eastAsia" w:ascii="宋体" w:hAnsi="宋体" w:cs="宋体"/>
          <w:color w:val="000000" w:themeColor="text1"/>
          <w:kern w:val="0"/>
          <w:szCs w:val="21"/>
          <w:lang w:val="en-US" w:eastAsia="zh-CN"/>
          <w14:textFill>
            <w14:solidFill>
              <w14:schemeClr w14:val="tx1"/>
            </w14:solidFill>
          </w14:textFill>
        </w:rPr>
      </w:pPr>
      <w:r>
        <w:rPr>
          <w:rFonts w:hint="default" w:ascii="宋体" w:hAnsi="宋体" w:cs="宋体"/>
          <w:color w:val="000000" w:themeColor="text1"/>
          <w:kern w:val="0"/>
          <w:szCs w:val="21"/>
          <w:lang w:val="en-US" w:eastAsia="zh-CN"/>
          <w14:textFill>
            <w14:solidFill>
              <w14:schemeClr w14:val="tx1"/>
            </w14:solidFill>
          </w14:textFill>
        </w:rPr>
        <w:t>（</w:t>
      </w:r>
      <w:r>
        <w:rPr>
          <w:rFonts w:hint="eastAsia" w:ascii="宋体" w:hAnsi="宋体" w:cs="宋体"/>
          <w:color w:val="000000" w:themeColor="text1"/>
          <w:kern w:val="0"/>
          <w:szCs w:val="21"/>
          <w:lang w:val="en-US" w:eastAsia="zh-CN"/>
          <w14:textFill>
            <w14:solidFill>
              <w14:schemeClr w14:val="tx1"/>
            </w14:solidFill>
          </w14:textFill>
        </w:rPr>
        <w:t>1</w:t>
      </w:r>
      <w:r>
        <w:rPr>
          <w:rFonts w:hint="default" w:ascii="宋体" w:hAnsi="宋体" w:cs="宋体"/>
          <w:color w:val="000000" w:themeColor="text1"/>
          <w:kern w:val="0"/>
          <w:szCs w:val="21"/>
          <w:lang w:val="en-US" w:eastAsia="zh-CN"/>
          <w14:textFill>
            <w14:solidFill>
              <w14:schemeClr w14:val="tx1"/>
            </w14:solidFill>
          </w14:textFill>
        </w:rPr>
        <w:t>）</w:t>
      </w:r>
      <w:r>
        <w:rPr>
          <w:rFonts w:hint="eastAsia" w:ascii="宋体" w:hAnsi="宋体" w:cs="宋体"/>
          <w:color w:val="000000" w:themeColor="text1"/>
          <w:kern w:val="0"/>
          <w:szCs w:val="21"/>
          <w:lang w:val="en-US" w:eastAsia="zh-CN"/>
          <w14:textFill>
            <w14:solidFill>
              <w14:schemeClr w14:val="tx1"/>
            </w14:solidFill>
          </w14:textFill>
        </w:rPr>
        <w:t>在“我的基金”页面，选择“交易记录”；</w:t>
      </w:r>
    </w:p>
    <w:p>
      <w:pPr>
        <w:widowControl/>
        <w:numPr>
          <w:ilvl w:val="0"/>
          <w:numId w:val="0"/>
        </w:numPr>
        <w:shd w:val="clear" w:color="auto" w:fill="FFFFFF"/>
        <w:ind w:firstLine="420" w:firstLineChars="200"/>
        <w:jc w:val="left"/>
        <w:rPr>
          <w:rFonts w:hint="eastAsia" w:ascii="宋体" w:hAnsi="宋体" w:cs="宋体"/>
          <w:color w:val="000000" w:themeColor="text1"/>
          <w:kern w:val="0"/>
          <w:szCs w:val="21"/>
          <w:lang w:val="en-US" w:eastAsia="zh-CN"/>
          <w14:textFill>
            <w14:solidFill>
              <w14:schemeClr w14:val="tx1"/>
            </w14:solidFill>
          </w14:textFill>
        </w:rPr>
      </w:pPr>
      <w:r>
        <w:rPr>
          <w:rFonts w:hint="default" w:ascii="宋体" w:hAnsi="宋体" w:cs="宋体"/>
          <w:color w:val="000000" w:themeColor="text1"/>
          <w:kern w:val="0"/>
          <w:szCs w:val="21"/>
          <w:lang w:val="en-US" w:eastAsia="zh-CN"/>
          <w14:textFill>
            <w14:solidFill>
              <w14:schemeClr w14:val="tx1"/>
            </w14:solidFill>
          </w14:textFill>
        </w:rPr>
        <w:t>（</w:t>
      </w:r>
      <w:r>
        <w:rPr>
          <w:rFonts w:hint="eastAsia" w:ascii="宋体" w:hAnsi="宋体" w:cs="宋体"/>
          <w:color w:val="000000" w:themeColor="text1"/>
          <w:kern w:val="0"/>
          <w:szCs w:val="21"/>
          <w:lang w:val="en-US" w:eastAsia="zh-CN"/>
          <w14:textFill>
            <w14:solidFill>
              <w14:schemeClr w14:val="tx1"/>
            </w14:solidFill>
          </w14:textFill>
        </w:rPr>
        <w:t>2</w:t>
      </w:r>
      <w:r>
        <w:rPr>
          <w:rFonts w:hint="default" w:ascii="宋体" w:hAnsi="宋体" w:cs="宋体"/>
          <w:color w:val="000000" w:themeColor="text1"/>
          <w:kern w:val="0"/>
          <w:szCs w:val="21"/>
          <w:lang w:val="en-US" w:eastAsia="zh-CN"/>
          <w14:textFill>
            <w14:solidFill>
              <w14:schemeClr w14:val="tx1"/>
            </w14:solidFill>
          </w14:textFill>
        </w:rPr>
        <w:t>）</w:t>
      </w:r>
      <w:r>
        <w:rPr>
          <w:rFonts w:hint="eastAsia" w:ascii="宋体" w:hAnsi="宋体" w:cs="宋体"/>
          <w:color w:val="000000" w:themeColor="text1"/>
          <w:kern w:val="0"/>
          <w:szCs w:val="21"/>
          <w:lang w:val="en-US" w:eastAsia="zh-CN"/>
          <w14:textFill>
            <w14:solidFill>
              <w14:schemeClr w14:val="tx1"/>
            </w14:solidFill>
          </w14:textFill>
        </w:rPr>
        <w:t>选择需要撤单的当日交易，进入“交易记录详细”，选择右上角“撤单”，选择“确定撤销”，输入密码，撤单成功。</w:t>
      </w:r>
    </w:p>
    <w:p>
      <w:pPr>
        <w:widowControl/>
        <w:numPr>
          <w:ilvl w:val="0"/>
          <w:numId w:val="0"/>
        </w:numPr>
        <w:shd w:val="clear" w:color="auto" w:fill="FFFFFF"/>
        <w:ind w:firstLine="420" w:firstLineChars="200"/>
        <w:jc w:val="left"/>
        <w:rPr>
          <w:rFonts w:hint="eastAsia" w:ascii="宋体" w:hAnsi="宋体" w:cs="宋体"/>
          <w:color w:val="000000" w:themeColor="text1"/>
          <w:kern w:val="0"/>
          <w:szCs w:val="21"/>
          <w:lang w:val="en-US" w:eastAsia="zh-CN"/>
          <w14:textFill>
            <w14:solidFill>
              <w14:schemeClr w14:val="tx1"/>
            </w14:solidFill>
          </w14:textFill>
        </w:rPr>
      </w:pPr>
      <w:r>
        <w:rPr>
          <w:rFonts w:hint="default" w:ascii="宋体" w:hAnsi="宋体" w:cs="宋体"/>
          <w:color w:val="000000" w:themeColor="text1"/>
          <w:kern w:val="0"/>
          <w:szCs w:val="21"/>
          <w:lang w:val="en-US" w:eastAsia="zh-CN"/>
          <w14:textFill>
            <w14:solidFill>
              <w14:schemeClr w14:val="tx1"/>
            </w14:solidFill>
          </w14:textFill>
        </w:rPr>
        <w:t>（</w:t>
      </w:r>
      <w:r>
        <w:rPr>
          <w:rFonts w:hint="eastAsia" w:ascii="宋体" w:hAnsi="宋体" w:cs="宋体"/>
          <w:color w:val="000000" w:themeColor="text1"/>
          <w:kern w:val="0"/>
          <w:szCs w:val="21"/>
          <w:lang w:val="en-US" w:eastAsia="zh-CN"/>
          <w14:textFill>
            <w14:solidFill>
              <w14:schemeClr w14:val="tx1"/>
            </w14:solidFill>
          </w14:textFill>
        </w:rPr>
        <w:t>3</w:t>
      </w:r>
      <w:r>
        <w:rPr>
          <w:rFonts w:hint="default" w:ascii="宋体" w:hAnsi="宋体" w:cs="宋体"/>
          <w:color w:val="000000" w:themeColor="text1"/>
          <w:kern w:val="0"/>
          <w:szCs w:val="21"/>
          <w:lang w:val="en-US" w:eastAsia="zh-CN"/>
          <w14:textFill>
            <w14:solidFill>
              <w14:schemeClr w14:val="tx1"/>
            </w14:solidFill>
          </w14:textFill>
        </w:rPr>
        <w:t>）</w:t>
      </w:r>
      <w:r>
        <w:rPr>
          <w:rFonts w:hint="eastAsia" w:ascii="宋体" w:hAnsi="宋体" w:cs="宋体"/>
          <w:color w:val="000000" w:themeColor="text1"/>
          <w:kern w:val="0"/>
          <w:szCs w:val="21"/>
          <w:lang w:val="en-US" w:eastAsia="zh-CN"/>
          <w14:textFill>
            <w14:solidFill>
              <w14:schemeClr w14:val="tx1"/>
            </w14:solidFill>
          </w14:textFill>
        </w:rPr>
        <w:t>撤单条件：购买/赎回/转换的基金，（T）15:00前交易的，在（T）15:00前可撤单；（T）15:00后交易的，在（T+1）15:00前可撤单。定投暂不支持撤单。</w:t>
      </w:r>
    </w:p>
    <w:p>
      <w:pPr>
        <w:widowControl/>
        <w:numPr>
          <w:ilvl w:val="0"/>
          <w:numId w:val="0"/>
        </w:numPr>
        <w:shd w:val="clear" w:color="auto" w:fill="FFFFFF"/>
        <w:ind w:firstLine="420" w:firstLineChars="200"/>
        <w:jc w:val="left"/>
        <w:rPr>
          <w:rFonts w:hint="eastAsia" w:ascii="宋体" w:hAnsi="宋体" w:cs="宋体"/>
          <w:color w:val="000000" w:themeColor="text1"/>
          <w:kern w:val="0"/>
          <w:szCs w:val="21"/>
          <w:lang w:eastAsia="zh-CN"/>
          <w14:textFill>
            <w14:solidFill>
              <w14:schemeClr w14:val="tx1"/>
            </w14:solidFill>
          </w14:textFill>
        </w:rPr>
      </w:pPr>
      <w:r>
        <w:rPr>
          <w:rFonts w:hint="eastAsia" w:ascii="宋体" w:hAnsi="宋体" w:cs="宋体"/>
          <w:color w:val="000000" w:themeColor="text1"/>
          <w:kern w:val="0"/>
          <w:szCs w:val="21"/>
          <w:lang w:val="en-US" w:eastAsia="zh-CN"/>
          <w14:textFill>
            <w14:solidFill>
              <w14:schemeClr w14:val="tx1"/>
            </w14:solidFill>
          </w14:textFill>
        </w:rPr>
        <w:t xml:space="preserve">（八） </w:t>
      </w:r>
      <w:r>
        <w:rPr>
          <w:rFonts w:hint="eastAsia" w:ascii="宋体" w:hAnsi="宋体" w:cs="宋体"/>
          <w:color w:val="000000" w:themeColor="text1"/>
          <w:kern w:val="0"/>
          <w:szCs w:val="21"/>
          <w14:textFill>
            <w14:solidFill>
              <w14:schemeClr w14:val="tx1"/>
            </w14:solidFill>
          </w14:textFill>
        </w:rPr>
        <w:t xml:space="preserve"> </w:t>
      </w:r>
      <w:r>
        <w:rPr>
          <w:rFonts w:hint="eastAsia" w:ascii="宋体" w:hAnsi="宋体" w:cs="宋体"/>
          <w:color w:val="000000" w:themeColor="text1"/>
          <w:kern w:val="0"/>
          <w:szCs w:val="21"/>
          <w:lang w:eastAsia="zh-CN"/>
          <w14:textFill>
            <w14:solidFill>
              <w14:schemeClr w14:val="tx1"/>
            </w14:solidFill>
          </w14:textFill>
        </w:rPr>
        <w:t>基金查询</w:t>
      </w:r>
    </w:p>
    <w:p>
      <w:pPr>
        <w:widowControl/>
        <w:numPr>
          <w:ilvl w:val="0"/>
          <w:numId w:val="0"/>
        </w:numPr>
        <w:shd w:val="clear" w:color="auto" w:fill="FFFFFF"/>
        <w:ind w:firstLine="420" w:firstLineChars="200"/>
        <w:jc w:val="left"/>
        <w:rPr>
          <w:rFonts w:hint="eastAsia" w:ascii="宋体" w:hAnsi="宋体" w:cs="宋体"/>
          <w:color w:val="000000" w:themeColor="text1"/>
          <w:kern w:val="0"/>
          <w:szCs w:val="21"/>
          <w:lang w:val="en-US" w:eastAsia="zh-CN"/>
          <w14:textFill>
            <w14:solidFill>
              <w14:schemeClr w14:val="tx1"/>
            </w14:solidFill>
          </w14:textFill>
        </w:rPr>
      </w:pPr>
      <w:r>
        <w:rPr>
          <w:rFonts w:hint="default" w:ascii="宋体" w:hAnsi="宋体" w:cs="宋体"/>
          <w:color w:val="000000" w:themeColor="text1"/>
          <w:kern w:val="0"/>
          <w:szCs w:val="21"/>
          <w:lang w:val="en-US" w:eastAsia="zh-CN"/>
          <w14:textFill>
            <w14:solidFill>
              <w14:schemeClr w14:val="tx1"/>
            </w14:solidFill>
          </w14:textFill>
        </w:rPr>
        <w:t>（</w:t>
      </w:r>
      <w:r>
        <w:rPr>
          <w:rFonts w:hint="eastAsia" w:ascii="宋体" w:hAnsi="宋体" w:cs="宋体"/>
          <w:color w:val="000000" w:themeColor="text1"/>
          <w:kern w:val="0"/>
          <w:szCs w:val="21"/>
          <w:lang w:val="en-US" w:eastAsia="zh-CN"/>
          <w14:textFill>
            <w14:solidFill>
              <w14:schemeClr w14:val="tx1"/>
            </w14:solidFill>
          </w14:textFill>
        </w:rPr>
        <w:t>1</w:t>
      </w:r>
      <w:r>
        <w:rPr>
          <w:rFonts w:hint="default" w:ascii="宋体" w:hAnsi="宋体" w:cs="宋体"/>
          <w:color w:val="000000" w:themeColor="text1"/>
          <w:kern w:val="0"/>
          <w:szCs w:val="21"/>
          <w:lang w:val="en-US" w:eastAsia="zh-CN"/>
          <w14:textFill>
            <w14:solidFill>
              <w14:schemeClr w14:val="tx1"/>
            </w14:solidFill>
          </w14:textFill>
        </w:rPr>
        <w:t>）</w:t>
      </w:r>
      <w:r>
        <w:rPr>
          <w:rFonts w:hint="eastAsia" w:ascii="宋体" w:hAnsi="宋体" w:cs="宋体"/>
          <w:color w:val="000000" w:themeColor="text1"/>
          <w:kern w:val="0"/>
          <w:szCs w:val="21"/>
          <w:lang w:val="en-US" w:eastAsia="zh-CN"/>
          <w14:textFill>
            <w14:solidFill>
              <w14:schemeClr w14:val="tx1"/>
            </w14:solidFill>
          </w14:textFill>
        </w:rPr>
        <w:t>持有收益：在“我的基金”页面，点击“持有收益”左侧图标，弹框显示“持有收益”口径，为客户当前持有的基金收益总和，不包含赎回部分。</w:t>
      </w:r>
    </w:p>
    <w:p>
      <w:pPr>
        <w:widowControl/>
        <w:numPr>
          <w:ilvl w:val="0"/>
          <w:numId w:val="0"/>
        </w:numPr>
        <w:shd w:val="clear" w:color="auto" w:fill="FFFFFF"/>
        <w:ind w:firstLine="420" w:firstLineChars="200"/>
        <w:jc w:val="left"/>
        <w:rPr>
          <w:rFonts w:hint="eastAsia" w:ascii="宋体" w:hAnsi="宋体" w:cs="宋体"/>
          <w:color w:val="000000" w:themeColor="text1"/>
          <w:kern w:val="0"/>
          <w:szCs w:val="21"/>
          <w:lang w:val="en-US" w:eastAsia="zh-CN"/>
          <w14:textFill>
            <w14:solidFill>
              <w14:schemeClr w14:val="tx1"/>
            </w14:solidFill>
          </w14:textFill>
        </w:rPr>
      </w:pPr>
      <w:r>
        <w:rPr>
          <w:rFonts w:hint="default" w:ascii="宋体" w:hAnsi="宋体" w:cs="宋体"/>
          <w:color w:val="000000" w:themeColor="text1"/>
          <w:kern w:val="0"/>
          <w:szCs w:val="21"/>
          <w:lang w:val="en-US" w:eastAsia="zh-CN"/>
          <w14:textFill>
            <w14:solidFill>
              <w14:schemeClr w14:val="tx1"/>
            </w14:solidFill>
          </w14:textFill>
        </w:rPr>
        <w:t>（</w:t>
      </w:r>
      <w:r>
        <w:rPr>
          <w:rFonts w:hint="eastAsia" w:ascii="宋体" w:hAnsi="宋体" w:cs="宋体"/>
          <w:color w:val="000000" w:themeColor="text1"/>
          <w:kern w:val="0"/>
          <w:szCs w:val="21"/>
          <w:lang w:val="en-US" w:eastAsia="zh-CN"/>
          <w14:textFill>
            <w14:solidFill>
              <w14:schemeClr w14:val="tx1"/>
            </w14:solidFill>
          </w14:textFill>
        </w:rPr>
        <w:t>2</w:t>
      </w:r>
      <w:r>
        <w:rPr>
          <w:rFonts w:hint="default" w:ascii="宋体" w:hAnsi="宋体" w:cs="宋体"/>
          <w:color w:val="000000" w:themeColor="text1"/>
          <w:kern w:val="0"/>
          <w:szCs w:val="21"/>
          <w:lang w:val="en-US" w:eastAsia="zh-CN"/>
          <w14:textFill>
            <w14:solidFill>
              <w14:schemeClr w14:val="tx1"/>
            </w14:solidFill>
          </w14:textFill>
        </w:rPr>
        <w:t>）</w:t>
      </w:r>
      <w:r>
        <w:rPr>
          <w:rFonts w:hint="eastAsia" w:ascii="宋体" w:hAnsi="宋体" w:cs="宋体"/>
          <w:color w:val="000000" w:themeColor="text1"/>
          <w:kern w:val="0"/>
          <w:szCs w:val="21"/>
          <w:lang w:val="en-US" w:eastAsia="zh-CN"/>
          <w14:textFill>
            <w14:solidFill>
              <w14:schemeClr w14:val="tx1"/>
            </w14:solidFill>
          </w14:textFill>
        </w:rPr>
        <w:t>累计收益：在“我的基金”页面，点击“累计收益”左侧图标，弹框显示“累计收益”口径，为客户所投资过的基金收益总和，包含持有和赎回部分。</w:t>
      </w:r>
    </w:p>
    <w:p>
      <w:pPr>
        <w:widowControl/>
        <w:numPr>
          <w:ilvl w:val="0"/>
          <w:numId w:val="0"/>
        </w:numPr>
        <w:shd w:val="clear" w:color="auto" w:fill="FFFFFF"/>
        <w:ind w:firstLine="420" w:firstLineChars="200"/>
        <w:jc w:val="left"/>
        <w:rPr>
          <w:rFonts w:hint="eastAsia" w:ascii="宋体" w:hAnsi="宋体" w:cs="宋体"/>
          <w:color w:val="000000" w:themeColor="text1"/>
          <w:kern w:val="0"/>
          <w:szCs w:val="21"/>
          <w:lang w:val="en-US" w:eastAsia="zh-CN"/>
          <w14:textFill>
            <w14:solidFill>
              <w14:schemeClr w14:val="tx1"/>
            </w14:solidFill>
          </w14:textFill>
        </w:rPr>
      </w:pPr>
      <w:r>
        <w:rPr>
          <w:rFonts w:hint="default" w:ascii="宋体" w:hAnsi="宋体" w:cs="宋体"/>
          <w:color w:val="000000" w:themeColor="text1"/>
          <w:kern w:val="0"/>
          <w:szCs w:val="21"/>
          <w:lang w:val="en-US" w:eastAsia="zh-CN"/>
          <w14:textFill>
            <w14:solidFill>
              <w14:schemeClr w14:val="tx1"/>
            </w14:solidFill>
          </w14:textFill>
        </w:rPr>
        <w:t>（</w:t>
      </w:r>
      <w:r>
        <w:rPr>
          <w:rFonts w:hint="eastAsia" w:ascii="宋体" w:hAnsi="宋体" w:cs="宋体"/>
          <w:color w:val="000000" w:themeColor="text1"/>
          <w:kern w:val="0"/>
          <w:szCs w:val="21"/>
          <w:lang w:val="en-US" w:eastAsia="zh-CN"/>
          <w14:textFill>
            <w14:solidFill>
              <w14:schemeClr w14:val="tx1"/>
            </w14:solidFill>
          </w14:textFill>
        </w:rPr>
        <w:t>4</w:t>
      </w:r>
      <w:r>
        <w:rPr>
          <w:rFonts w:hint="default" w:ascii="宋体" w:hAnsi="宋体" w:cs="宋体"/>
          <w:color w:val="000000" w:themeColor="text1"/>
          <w:kern w:val="0"/>
          <w:szCs w:val="21"/>
          <w:lang w:val="en-US" w:eastAsia="zh-CN"/>
          <w14:textFill>
            <w14:solidFill>
              <w14:schemeClr w14:val="tx1"/>
            </w14:solidFill>
          </w14:textFill>
        </w:rPr>
        <w:t>）</w:t>
      </w:r>
      <w:r>
        <w:rPr>
          <w:rFonts w:hint="eastAsia" w:ascii="宋体" w:hAnsi="宋体" w:cs="宋体"/>
          <w:color w:val="000000" w:themeColor="text1"/>
          <w:kern w:val="0"/>
          <w:szCs w:val="21"/>
          <w:lang w:val="en-US" w:eastAsia="zh-CN"/>
          <w14:textFill>
            <w14:solidFill>
              <w14:schemeClr w14:val="tx1"/>
            </w14:solidFill>
          </w14:textFill>
        </w:rPr>
        <w:t>收益明细查询：在“我的基金”页面，选择“收益明细”，下拉选择“昨日收益”和“累计收益”，可查看各基金的收益明细。选择任意一条明细，进入“资产详情”；已清仓基金无资产详情。</w:t>
      </w:r>
    </w:p>
    <w:p>
      <w:pPr>
        <w:widowControl/>
        <w:numPr>
          <w:ilvl w:val="0"/>
          <w:numId w:val="0"/>
        </w:numPr>
        <w:shd w:val="clear" w:color="auto" w:fill="FFFFFF"/>
        <w:ind w:firstLine="420" w:firstLineChars="200"/>
        <w:jc w:val="left"/>
        <w:rPr>
          <w:rFonts w:hint="eastAsia" w:ascii="宋体" w:hAnsi="宋体" w:cs="宋体"/>
          <w:color w:val="000000" w:themeColor="text1"/>
          <w:kern w:val="0"/>
          <w:szCs w:val="21"/>
          <w:lang w:val="en-US" w:eastAsia="zh-CN"/>
          <w14:textFill>
            <w14:solidFill>
              <w14:schemeClr w14:val="tx1"/>
            </w14:solidFill>
          </w14:textFill>
        </w:rPr>
      </w:pPr>
      <w:r>
        <w:rPr>
          <w:rFonts w:hint="default" w:ascii="宋体" w:hAnsi="宋体" w:cs="宋体"/>
          <w:color w:val="000000" w:themeColor="text1"/>
          <w:kern w:val="0"/>
          <w:szCs w:val="21"/>
          <w:lang w:val="en-US" w:eastAsia="zh-CN"/>
          <w14:textFill>
            <w14:solidFill>
              <w14:schemeClr w14:val="tx1"/>
            </w14:solidFill>
          </w14:textFill>
        </w:rPr>
        <w:t>（</w:t>
      </w:r>
      <w:r>
        <w:rPr>
          <w:rFonts w:hint="eastAsia" w:ascii="宋体" w:hAnsi="宋体" w:cs="宋体"/>
          <w:color w:val="000000" w:themeColor="text1"/>
          <w:kern w:val="0"/>
          <w:szCs w:val="21"/>
          <w:lang w:val="en-US" w:eastAsia="zh-CN"/>
          <w14:textFill>
            <w14:solidFill>
              <w14:schemeClr w14:val="tx1"/>
            </w14:solidFill>
          </w14:textFill>
        </w:rPr>
        <w:t>4</w:t>
      </w:r>
      <w:r>
        <w:rPr>
          <w:rFonts w:hint="default" w:ascii="宋体" w:hAnsi="宋体" w:cs="宋体"/>
          <w:color w:val="000000" w:themeColor="text1"/>
          <w:kern w:val="0"/>
          <w:szCs w:val="21"/>
          <w:lang w:val="en-US" w:eastAsia="zh-CN"/>
          <w14:textFill>
            <w14:solidFill>
              <w14:schemeClr w14:val="tx1"/>
            </w14:solidFill>
          </w14:textFill>
        </w:rPr>
        <w:t>）</w:t>
      </w:r>
      <w:r>
        <w:rPr>
          <w:rFonts w:hint="eastAsia" w:ascii="宋体" w:hAnsi="宋体" w:cs="宋体"/>
          <w:color w:val="000000" w:themeColor="text1"/>
          <w:kern w:val="0"/>
          <w:szCs w:val="21"/>
          <w:lang w:val="en-US" w:eastAsia="zh-CN"/>
          <w14:textFill>
            <w14:solidFill>
              <w14:schemeClr w14:val="tx1"/>
            </w14:solidFill>
          </w14:textFill>
        </w:rPr>
        <w:t>交易记录查询：在“我的基金”页面，选择“交易记录”，可根据交易类型、交易状态、交易时间进行筛选查询。</w:t>
      </w:r>
    </w:p>
    <w:p>
      <w:pPr>
        <w:widowControl/>
        <w:numPr>
          <w:ilvl w:val="0"/>
          <w:numId w:val="0"/>
        </w:numPr>
        <w:shd w:val="clear" w:color="auto" w:fill="FFFFFF"/>
        <w:ind w:firstLine="420" w:firstLineChars="200"/>
        <w:jc w:val="left"/>
        <w:rPr>
          <w:rFonts w:hint="eastAsia" w:ascii="宋体" w:hAnsi="宋体" w:cs="宋体"/>
          <w:color w:val="000000" w:themeColor="text1"/>
          <w:kern w:val="0"/>
          <w:szCs w:val="21"/>
          <w:lang w:val="en-US" w:eastAsia="zh-CN"/>
          <w14:textFill>
            <w14:solidFill>
              <w14:schemeClr w14:val="tx1"/>
            </w14:solidFill>
          </w14:textFill>
        </w:rPr>
      </w:pPr>
      <w:r>
        <w:rPr>
          <w:rFonts w:hint="default" w:ascii="宋体" w:hAnsi="宋体" w:cs="宋体"/>
          <w:color w:val="000000" w:themeColor="text1"/>
          <w:kern w:val="0"/>
          <w:szCs w:val="21"/>
          <w:lang w:val="en-US" w:eastAsia="zh-CN"/>
          <w14:textFill>
            <w14:solidFill>
              <w14:schemeClr w14:val="tx1"/>
            </w14:solidFill>
          </w14:textFill>
        </w:rPr>
        <w:t>（</w:t>
      </w:r>
      <w:r>
        <w:rPr>
          <w:rFonts w:hint="eastAsia" w:ascii="宋体" w:hAnsi="宋体" w:cs="宋体"/>
          <w:color w:val="000000" w:themeColor="text1"/>
          <w:kern w:val="0"/>
          <w:szCs w:val="21"/>
          <w:lang w:val="en-US" w:eastAsia="zh-CN"/>
          <w14:textFill>
            <w14:solidFill>
              <w14:schemeClr w14:val="tx1"/>
            </w14:solidFill>
          </w14:textFill>
        </w:rPr>
        <w:t>5</w:t>
      </w:r>
      <w:r>
        <w:rPr>
          <w:rFonts w:hint="default" w:ascii="宋体" w:hAnsi="宋体" w:cs="宋体"/>
          <w:color w:val="000000" w:themeColor="text1"/>
          <w:kern w:val="0"/>
          <w:szCs w:val="21"/>
          <w:lang w:val="en-US" w:eastAsia="zh-CN"/>
          <w14:textFill>
            <w14:solidFill>
              <w14:schemeClr w14:val="tx1"/>
            </w14:solidFill>
          </w14:textFill>
        </w:rPr>
        <w:t>）</w:t>
      </w:r>
      <w:r>
        <w:rPr>
          <w:rFonts w:hint="eastAsia" w:ascii="宋体" w:hAnsi="宋体" w:cs="宋体"/>
          <w:color w:val="000000" w:themeColor="text1"/>
          <w:kern w:val="0"/>
          <w:szCs w:val="21"/>
          <w:lang w:val="en-US" w:eastAsia="zh-CN"/>
          <w14:textFill>
            <w14:solidFill>
              <w14:schemeClr w14:val="tx1"/>
            </w14:solidFill>
          </w14:textFill>
        </w:rPr>
        <w:t>定投列表查询：从“我的基金”进入，选择“我的定投”进入“我的定投”列表。选择任意定投计划，进入定投详情页面；选择任意定投记录，进入交易记录详情；选择“查看已终止的定投计划”，可查看已终止的定投计划。</w:t>
      </w:r>
    </w:p>
    <w:p>
      <w:pPr>
        <w:widowControl/>
        <w:numPr>
          <w:ilvl w:val="0"/>
          <w:numId w:val="0"/>
        </w:numPr>
        <w:shd w:val="clear" w:color="auto" w:fill="FFFFFF"/>
        <w:ind w:firstLine="420" w:firstLineChars="200"/>
        <w:jc w:val="left"/>
        <w:rPr>
          <w:rFonts w:hint="default" w:ascii="宋体" w:hAnsi="宋体" w:cs="宋体"/>
          <w:color w:val="000000" w:themeColor="text1"/>
          <w:kern w:val="0"/>
          <w:szCs w:val="21"/>
          <w:lang w:eastAsia="zh-CN"/>
          <w14:textFill>
            <w14:solidFill>
              <w14:schemeClr w14:val="tx1"/>
            </w14:solidFill>
          </w14:textFill>
        </w:rPr>
      </w:pPr>
      <w:r>
        <w:rPr>
          <w:rFonts w:hint="eastAsia" w:ascii="宋体" w:hAnsi="宋体" w:cs="宋体"/>
          <w:color w:val="000000" w:themeColor="text1"/>
          <w:kern w:val="0"/>
          <w:szCs w:val="21"/>
          <w:lang w:val="en-US" w:eastAsia="zh-CN"/>
          <w14:textFill>
            <w14:solidFill>
              <w14:schemeClr w14:val="tx1"/>
            </w14:solidFill>
          </w14:textFill>
        </w:rPr>
        <w:t xml:space="preserve">（九） </w:t>
      </w:r>
      <w:r>
        <w:rPr>
          <w:rFonts w:hint="eastAsia" w:ascii="宋体" w:hAnsi="宋体" w:cs="宋体"/>
          <w:color w:val="000000" w:themeColor="text1"/>
          <w:kern w:val="0"/>
          <w:szCs w:val="21"/>
          <w14:textFill>
            <w14:solidFill>
              <w14:schemeClr w14:val="tx1"/>
            </w14:solidFill>
          </w14:textFill>
        </w:rPr>
        <w:t xml:space="preserve"> </w:t>
      </w:r>
      <w:r>
        <w:rPr>
          <w:rFonts w:hint="eastAsia" w:ascii="宋体" w:hAnsi="宋体" w:cs="宋体"/>
          <w:color w:val="000000" w:themeColor="text1"/>
          <w:kern w:val="0"/>
          <w:szCs w:val="21"/>
          <w:lang w:eastAsia="zh-CN"/>
          <w14:textFill>
            <w14:solidFill>
              <w14:schemeClr w14:val="tx1"/>
            </w14:solidFill>
          </w14:textFill>
        </w:rPr>
        <w:t>基金</w:t>
      </w:r>
      <w:r>
        <w:rPr>
          <w:rFonts w:hint="default" w:ascii="宋体" w:hAnsi="宋体" w:cs="宋体"/>
          <w:color w:val="000000" w:themeColor="text1"/>
          <w:kern w:val="0"/>
          <w:szCs w:val="21"/>
          <w:lang w:eastAsia="zh-CN"/>
          <w14:textFill>
            <w14:solidFill>
              <w14:schemeClr w14:val="tx1"/>
            </w14:solidFill>
          </w14:textFill>
        </w:rPr>
        <w:t>非交易过户</w:t>
      </w:r>
    </w:p>
    <w:p>
      <w:pPr>
        <w:widowControl/>
        <w:numPr>
          <w:ilvl w:val="0"/>
          <w:numId w:val="0"/>
        </w:numPr>
        <w:shd w:val="clear" w:color="auto" w:fill="FFFFFF"/>
        <w:ind w:firstLine="420" w:firstLineChars="200"/>
        <w:jc w:val="left"/>
        <w:rPr>
          <w:rFonts w:hint="default" w:ascii="宋体" w:hAnsi="宋体" w:cs="宋体"/>
          <w:color w:val="000000" w:themeColor="text1"/>
          <w:kern w:val="0"/>
          <w:szCs w:val="21"/>
          <w:lang w:val="en-US" w:eastAsia="zh-CN"/>
          <w14:textFill>
            <w14:solidFill>
              <w14:schemeClr w14:val="tx1"/>
            </w14:solidFill>
          </w14:textFill>
        </w:rPr>
      </w:pPr>
      <w:r>
        <w:rPr>
          <w:rFonts w:hint="eastAsia" w:ascii="宋体" w:hAnsi="宋体" w:cs="宋体"/>
          <w:color w:val="000000" w:themeColor="text1"/>
          <w:kern w:val="0"/>
          <w:szCs w:val="21"/>
          <w:lang w:val="en-US" w:eastAsia="zh-CN"/>
          <w14:textFill>
            <w14:solidFill>
              <w14:schemeClr w14:val="tx1"/>
            </w14:solidFill>
          </w14:textFill>
        </w:rPr>
        <w:t>基金非交易过户</w:t>
      </w:r>
      <w:r>
        <w:rPr>
          <w:rFonts w:hint="default" w:ascii="宋体" w:hAnsi="宋体" w:cs="宋体"/>
          <w:color w:val="000000" w:themeColor="text1"/>
          <w:kern w:val="0"/>
          <w:szCs w:val="21"/>
          <w:lang w:val="en-US" w:eastAsia="zh-CN"/>
          <w14:textFill>
            <w14:solidFill>
              <w14:schemeClr w14:val="tx1"/>
            </w14:solidFill>
          </w14:textFill>
        </w:rPr>
        <w:t>是指由于司法强制执行或由于继承、捐赠等原因，不采用申购赎回等基金交易方式，将某一基金账户的份额全部或者部分直接划转至另一个基金账户的过户业务。</w:t>
      </w:r>
    </w:p>
    <w:p>
      <w:pPr>
        <w:widowControl/>
        <w:numPr>
          <w:ilvl w:val="0"/>
          <w:numId w:val="0"/>
        </w:numPr>
        <w:shd w:val="clear" w:color="auto" w:fill="FFFFFF"/>
        <w:ind w:firstLine="420" w:firstLineChars="200"/>
        <w:jc w:val="left"/>
        <w:rPr>
          <w:rFonts w:hint="default" w:ascii="宋体" w:hAnsi="宋体" w:cs="宋体"/>
          <w:color w:val="000000" w:themeColor="text1"/>
          <w:kern w:val="0"/>
          <w:szCs w:val="21"/>
          <w:lang w:val="en-US" w:eastAsia="zh-CN"/>
          <w14:textFill>
            <w14:solidFill>
              <w14:schemeClr w14:val="tx1"/>
            </w14:solidFill>
          </w14:textFill>
        </w:rPr>
      </w:pPr>
      <w:r>
        <w:rPr>
          <w:rFonts w:hint="default" w:ascii="宋体" w:hAnsi="宋体" w:cs="宋体"/>
          <w:color w:val="000000" w:themeColor="text1"/>
          <w:kern w:val="0"/>
          <w:szCs w:val="21"/>
          <w:lang w:val="en-US" w:eastAsia="zh-CN"/>
          <w14:textFill>
            <w14:solidFill>
              <w14:schemeClr w14:val="tx1"/>
            </w14:solidFill>
          </w14:textFill>
        </w:rPr>
        <w:t>投资者申请办理非交易过户，转入方必须已开设基金账户，过户所涉的基金份额应当是未予以质押或设定了其他限制的份额。因继承、捐赠等原因而发生的非交易过户申请，应当根据基金管理公司要求，提交继承公证书（注：若继承人为多个，公证书需明示每个人继承受让的具体份额）或捐赠公证书等相关资料。基金管理人收到非交易过户相关材料并审核通过后处理非交易过户申请并将相关信息通知投资者。</w:t>
      </w:r>
    </w:p>
    <w:p>
      <w:pPr>
        <w:widowControl/>
        <w:spacing w:before="240" w:line="405" w:lineRule="atLeast"/>
        <w:jc w:val="left"/>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以上业务受理并不表明投资人的交易得以确认，确认应以注册登记机构的确认结果为准，投资人在T+2日可以到我行柜面或通过电子渠道查询交易确认情况。</w:t>
      </w:r>
    </w:p>
    <w:p>
      <w:pPr>
        <w:widowControl/>
        <w:spacing w:before="240" w:line="405" w:lineRule="atLeast"/>
        <w:jc w:val="left"/>
        <w:rPr>
          <w:rFonts w:ascii="Arial" w:hAnsi="Arial" w:cs="Arial"/>
          <w:b/>
          <w:bCs/>
          <w:color w:val="000000" w:themeColor="text1"/>
          <w:kern w:val="0"/>
          <w:szCs w:val="21"/>
          <w14:textFill>
            <w14:solidFill>
              <w14:schemeClr w14:val="tx1"/>
            </w14:solidFill>
          </w14:textFill>
        </w:rPr>
      </w:pPr>
      <w:r>
        <w:rPr>
          <w:rFonts w:hint="eastAsia" w:ascii="Arial" w:hAnsi="Arial" w:cs="Arial"/>
          <w:b/>
          <w:bCs/>
          <w:color w:val="000000" w:themeColor="text1"/>
          <w:kern w:val="0"/>
          <w:szCs w:val="21"/>
          <w14:textFill>
            <w14:solidFill>
              <w14:schemeClr w14:val="tx1"/>
            </w14:solidFill>
          </w14:textFill>
        </w:rPr>
        <w:t>　　　六、投诉处理和联系方式</w:t>
      </w:r>
    </w:p>
    <w:p>
      <w:pPr>
        <w:widowControl/>
        <w:spacing w:before="240" w:line="405" w:lineRule="atLeast"/>
        <w:ind w:firstLine="420" w:firstLineChars="200"/>
        <w:jc w:val="left"/>
        <w:rPr>
          <w:rFonts w:hint="eastAsia" w:ascii="Arial" w:hAnsi="Arial" w:cs="Arial"/>
          <w:color w:val="000000" w:themeColor="text1"/>
          <w:kern w:val="0"/>
          <w:szCs w:val="21"/>
          <w:lang w:eastAsia="zh-CN"/>
          <w14:textFill>
            <w14:solidFill>
              <w14:schemeClr w14:val="tx1"/>
            </w14:solidFill>
          </w14:textFill>
        </w:rPr>
      </w:pPr>
      <w:r>
        <w:rPr>
          <w:rFonts w:hint="eastAsia" w:ascii="Arial" w:hAnsi="Arial" w:cs="Arial"/>
          <w:color w:val="000000" w:themeColor="text1"/>
          <w:kern w:val="0"/>
          <w:szCs w:val="21"/>
          <w14:textFill>
            <w14:solidFill>
              <w14:schemeClr w14:val="tx1"/>
            </w14:solidFill>
          </w14:textFill>
        </w:rPr>
        <w:t>（一）基金投资人可以通过拨打我行客户服务中心电话或以书信、传真、电子邮件等方式，对营业网点所提供的服务提出建议或投诉。对于工作日受理的投诉，原则上当日回复，不能当日回复的，在3个工作日内回复。对于非工作日受理的投诉，原则上在顺延的第一个工作日回复，不能及时回复的，在3个工作日内回复。</w:t>
      </w:r>
      <w:r>
        <w:rPr>
          <w:rFonts w:hint="eastAsia" w:ascii="Arial" w:hAnsi="Arial" w:cs="Arial"/>
          <w:color w:val="000000" w:themeColor="text1"/>
          <w:kern w:val="0"/>
          <w:szCs w:val="21"/>
          <w:lang w:eastAsia="zh-CN"/>
          <w14:textFill>
            <w14:solidFill>
              <w14:schemeClr w14:val="tx1"/>
            </w14:solidFill>
          </w14:textFill>
        </w:rPr>
        <w:t>我行客服中心投诉或联系方式如下：</w:t>
      </w:r>
    </w:p>
    <w:p>
      <w:pPr>
        <w:widowControl/>
        <w:spacing w:before="240" w:line="405" w:lineRule="atLeast"/>
        <w:ind w:firstLine="420" w:firstLineChars="200"/>
        <w:jc w:val="left"/>
        <w:rPr>
          <w:rFonts w:hint="eastAsia" w:ascii="Arial" w:hAnsi="Arial" w:cs="Arial"/>
          <w:color w:val="000000" w:themeColor="text1"/>
          <w:kern w:val="0"/>
          <w:szCs w:val="21"/>
          <w14:textFill>
            <w14:solidFill>
              <w14:schemeClr w14:val="tx1"/>
            </w14:solidFill>
          </w14:textFill>
        </w:rPr>
      </w:pPr>
      <w:r>
        <w:rPr>
          <w:rFonts w:hint="eastAsia" w:ascii="Arial" w:hAnsi="Arial" w:cs="Arial"/>
          <w:color w:val="000000" w:themeColor="text1"/>
          <w:kern w:val="0"/>
          <w:szCs w:val="21"/>
          <w14:textFill>
            <w14:solidFill>
              <w14:schemeClr w14:val="tx1"/>
            </w14:solidFill>
          </w14:textFill>
        </w:rPr>
        <w:t>网址：</w:t>
      </w:r>
      <w:r>
        <w:rPr>
          <w:rFonts w:hint="eastAsia" w:ascii="Arial" w:hAnsi="Arial" w:cs="Arial"/>
          <w:color w:val="000000" w:themeColor="text1"/>
          <w:kern w:val="0"/>
          <w:szCs w:val="21"/>
          <w14:textFill>
            <w14:solidFill>
              <w14:schemeClr w14:val="tx1"/>
            </w14:solidFill>
          </w14:textFill>
        </w:rPr>
        <w:fldChar w:fldCharType="begin"/>
      </w:r>
      <w:r>
        <w:rPr>
          <w:rFonts w:hint="eastAsia" w:ascii="Arial" w:hAnsi="Arial" w:cs="Arial"/>
          <w:color w:val="000000" w:themeColor="text1"/>
          <w:kern w:val="0"/>
          <w:szCs w:val="21"/>
          <w14:textFill>
            <w14:solidFill>
              <w14:schemeClr w14:val="tx1"/>
            </w14:solidFill>
          </w14:textFill>
        </w:rPr>
        <w:instrText xml:space="preserve"> HYPERLINK "http://www.mintaibank.com/" </w:instrText>
      </w:r>
      <w:r>
        <w:rPr>
          <w:rFonts w:hint="eastAsia" w:ascii="Arial" w:hAnsi="Arial" w:cs="Arial"/>
          <w:color w:val="000000" w:themeColor="text1"/>
          <w:kern w:val="0"/>
          <w:szCs w:val="21"/>
          <w14:textFill>
            <w14:solidFill>
              <w14:schemeClr w14:val="tx1"/>
            </w14:solidFill>
          </w14:textFill>
        </w:rPr>
        <w:fldChar w:fldCharType="separate"/>
      </w:r>
      <w:r>
        <w:rPr>
          <w:rFonts w:hint="eastAsia" w:ascii="Arial" w:hAnsi="Arial" w:cs="Arial"/>
          <w:color w:val="000000" w:themeColor="text1"/>
          <w:kern w:val="0"/>
          <w:szCs w:val="21"/>
          <w14:textFill>
            <w14:solidFill>
              <w14:schemeClr w14:val="tx1"/>
            </w14:solidFill>
          </w14:textFill>
        </w:rPr>
        <w:t>www.mintaibank.com</w:t>
      </w:r>
      <w:r>
        <w:rPr>
          <w:rFonts w:hint="eastAsia" w:ascii="Arial" w:hAnsi="Arial" w:cs="Arial"/>
          <w:color w:val="000000" w:themeColor="text1"/>
          <w:kern w:val="0"/>
          <w:szCs w:val="21"/>
          <w14:textFill>
            <w14:solidFill>
              <w14:schemeClr w14:val="tx1"/>
            </w14:solidFill>
          </w14:textFill>
        </w:rPr>
        <w:fldChar w:fldCharType="end"/>
      </w:r>
    </w:p>
    <w:p>
      <w:pPr>
        <w:widowControl/>
        <w:spacing w:before="240" w:line="405" w:lineRule="atLeast"/>
        <w:jc w:val="left"/>
        <w:rPr>
          <w:rFonts w:hint="eastAsia" w:ascii="Arial" w:hAnsi="Arial" w:cs="Arial"/>
          <w:color w:val="000000" w:themeColor="text1"/>
          <w:kern w:val="0"/>
          <w:szCs w:val="21"/>
          <w14:textFill>
            <w14:solidFill>
              <w14:schemeClr w14:val="tx1"/>
            </w14:solidFill>
          </w14:textFill>
        </w:rPr>
      </w:pPr>
      <w:r>
        <w:rPr>
          <w:rFonts w:hint="eastAsia" w:ascii="Arial" w:hAnsi="Arial" w:cs="Arial"/>
          <w:color w:val="000000" w:themeColor="text1"/>
          <w:kern w:val="0"/>
          <w:szCs w:val="21"/>
          <w14:textFill>
            <w14:solidFill>
              <w14:schemeClr w14:val="tx1"/>
            </w14:solidFill>
          </w14:textFill>
        </w:rPr>
        <w:t>　　客户服务中心电话：95343</w:t>
      </w:r>
    </w:p>
    <w:p>
      <w:pPr>
        <w:widowControl/>
        <w:spacing w:before="240" w:line="405" w:lineRule="atLeast"/>
        <w:jc w:val="left"/>
        <w:rPr>
          <w:rFonts w:hint="eastAsia" w:ascii="Arial" w:hAnsi="Arial" w:cs="Arial"/>
          <w:color w:val="000000" w:themeColor="text1"/>
          <w:kern w:val="0"/>
          <w:szCs w:val="21"/>
          <w14:textFill>
            <w14:solidFill>
              <w14:schemeClr w14:val="tx1"/>
            </w14:solidFill>
          </w14:textFill>
        </w:rPr>
      </w:pPr>
      <w:r>
        <w:rPr>
          <w:rFonts w:hint="eastAsia" w:ascii="Arial" w:hAnsi="Arial" w:cs="Arial"/>
          <w:color w:val="000000" w:themeColor="text1"/>
          <w:kern w:val="0"/>
          <w:szCs w:val="21"/>
          <w14:textFill>
            <w14:solidFill>
              <w14:schemeClr w14:val="tx1"/>
            </w14:solidFill>
          </w14:textFill>
        </w:rPr>
        <w:t>　　地址：浙江省温岭市三星大道168号</w:t>
      </w:r>
    </w:p>
    <w:p>
      <w:pPr>
        <w:widowControl/>
        <w:spacing w:before="240" w:line="405" w:lineRule="atLeast"/>
        <w:jc w:val="left"/>
        <w:rPr>
          <w:rFonts w:hint="eastAsia" w:ascii="Arial" w:hAnsi="Arial" w:cs="Arial"/>
          <w:color w:val="000000" w:themeColor="text1"/>
          <w:kern w:val="0"/>
          <w:szCs w:val="21"/>
          <w14:textFill>
            <w14:solidFill>
              <w14:schemeClr w14:val="tx1"/>
            </w14:solidFill>
          </w14:textFill>
        </w:rPr>
      </w:pPr>
      <w:r>
        <w:rPr>
          <w:rFonts w:hint="eastAsia" w:ascii="Arial" w:hAnsi="Arial" w:cs="Arial"/>
          <w:color w:val="000000" w:themeColor="text1"/>
          <w:kern w:val="0"/>
          <w:szCs w:val="21"/>
          <w14:textFill>
            <w14:solidFill>
              <w14:schemeClr w14:val="tx1"/>
            </w14:solidFill>
          </w14:textFill>
        </w:rPr>
        <w:t>　　邮编：317500</w:t>
      </w:r>
    </w:p>
    <w:p>
      <w:pPr>
        <w:pStyle w:val="2"/>
        <w:rPr>
          <w:rFonts w:hint="eastAsia"/>
          <w:lang w:eastAsia="zh-CN"/>
        </w:rPr>
      </w:pPr>
    </w:p>
    <w:p>
      <w:pPr>
        <w:widowControl/>
        <w:spacing w:before="240" w:line="405" w:lineRule="atLeast"/>
        <w:jc w:val="left"/>
        <w:rPr>
          <w:rFonts w:ascii="Arial" w:hAnsi="Arial" w:cs="Arial"/>
          <w:color w:val="000000" w:themeColor="text1"/>
          <w:kern w:val="0"/>
          <w:szCs w:val="21"/>
          <w14:textFill>
            <w14:solidFill>
              <w14:schemeClr w14:val="tx1"/>
            </w14:solidFill>
          </w14:textFill>
        </w:rPr>
      </w:pPr>
      <w:r>
        <w:rPr>
          <w:rFonts w:hint="eastAsia" w:ascii="Arial" w:hAnsi="Arial" w:cs="Arial"/>
          <w:color w:val="000000" w:themeColor="text1"/>
          <w:kern w:val="0"/>
          <w:szCs w:val="21"/>
          <w14:textFill>
            <w14:solidFill>
              <w14:schemeClr w14:val="tx1"/>
            </w14:solidFill>
          </w14:textFill>
        </w:rPr>
        <w:t>　　（二）基金投资人也可通过书信、传真、电子邮件等方式，向中国证监会和中国证券投资基金业协会投诉。联系方式如下：</w:t>
      </w:r>
    </w:p>
    <w:p>
      <w:pPr>
        <w:widowControl/>
        <w:spacing w:before="240" w:line="405" w:lineRule="atLeast"/>
        <w:ind w:firstLine="420" w:firstLineChars="200"/>
        <w:jc w:val="left"/>
        <w:rPr>
          <w:rFonts w:hint="eastAsia" w:ascii="Arial" w:hAnsi="Arial" w:eastAsia="宋体" w:cs="Arial"/>
          <w:color w:val="000000" w:themeColor="text1"/>
          <w:kern w:val="0"/>
          <w:szCs w:val="21"/>
          <w:lang w:val="en-US" w:eastAsia="zh-CN"/>
          <w14:textFill>
            <w14:solidFill>
              <w14:schemeClr w14:val="tx1"/>
            </w14:solidFill>
          </w14:textFill>
        </w:rPr>
      </w:pPr>
      <w:r>
        <w:rPr>
          <w:rFonts w:ascii="Arial" w:hAnsi="Arial" w:cs="Arial"/>
          <w:color w:val="000000" w:themeColor="text1"/>
          <w:kern w:val="0"/>
          <w:szCs w:val="21"/>
          <w14:textFill>
            <w14:solidFill>
              <w14:schemeClr w14:val="tx1"/>
            </w14:solidFill>
          </w14:textFill>
        </w:rPr>
        <w:t>中国证监会北京监管局：网址：</w:t>
      </w:r>
      <w:r>
        <w:rPr>
          <w:rFonts w:hint="default" w:ascii="Arial" w:hAnsi="Arial" w:cs="Arial"/>
          <w:color w:val="000000" w:themeColor="text1"/>
          <w:kern w:val="0"/>
          <w:szCs w:val="21"/>
          <w14:textFill>
            <w14:solidFill>
              <w14:schemeClr w14:val="tx1"/>
            </w14:solidFill>
          </w14:textFill>
        </w:rPr>
        <w:fldChar w:fldCharType="begin"/>
      </w:r>
      <w:r>
        <w:rPr>
          <w:rFonts w:hint="default" w:ascii="Arial" w:hAnsi="Arial" w:cs="Arial"/>
          <w:color w:val="000000" w:themeColor="text1"/>
          <w:kern w:val="0"/>
          <w:szCs w:val="21"/>
          <w14:textFill>
            <w14:solidFill>
              <w14:schemeClr w14:val="tx1"/>
            </w14:solidFill>
          </w14:textFill>
        </w:rPr>
        <w:instrText xml:space="preserve"> HYPERLINK "http://mail.mtbank.com/coremail/XT5/jsp/www.csrc.gov.cn%EF%BC%8C%E7%94%B5%E8%AF%9D%EF%BC%9A010%EF%BC%8D88088086%EF%BC%8C%E4%BC%A0%E7%9C%9F%EF%BC%9A010-88088012%EF%BC%8C%E5%9C%B0%E5%9D%80%EF%BC%9A%E5%8C%97%E4%BA%AC%E5%B8%82%E8%A5%BF%E5%9F%8E%E5%8C%BA%E9%87%91%E8%9E%8D%E8%A1%9733%E5%8F%B7%E9%80%9A%E6%B3%B0%E5%A4%A7%E5%8E%A6B%E5%BA%A710%E5%B1%82%EF%BC%8C%E9%82%AE%E7%BC%96%EF%BC%9A100033" </w:instrText>
      </w:r>
      <w:r>
        <w:rPr>
          <w:rFonts w:hint="default" w:ascii="Arial" w:hAnsi="Arial" w:cs="Arial"/>
          <w:color w:val="000000" w:themeColor="text1"/>
          <w:kern w:val="0"/>
          <w:szCs w:val="21"/>
          <w14:textFill>
            <w14:solidFill>
              <w14:schemeClr w14:val="tx1"/>
            </w14:solidFill>
          </w14:textFill>
        </w:rPr>
        <w:fldChar w:fldCharType="separate"/>
      </w:r>
      <w:r>
        <w:rPr>
          <w:rFonts w:hint="default" w:ascii="Arial" w:hAnsi="Arial" w:cs="Arial"/>
          <w:color w:val="000000" w:themeColor="text1"/>
          <w:kern w:val="0"/>
          <w:szCs w:val="21"/>
          <w14:textFill>
            <w14:solidFill>
              <w14:schemeClr w14:val="tx1"/>
            </w14:solidFill>
          </w14:textFill>
        </w:rPr>
        <w:t>www.csrc.gov.cn，电话：010－88088086，传真：010-88088012，地址：北京市西城区金融街33号通泰大厦B座10层，邮编：100033</w:t>
      </w:r>
      <w:r>
        <w:rPr>
          <w:rFonts w:hint="default" w:ascii="Arial" w:hAnsi="Arial" w:cs="Arial"/>
          <w:color w:val="000000" w:themeColor="text1"/>
          <w:kern w:val="0"/>
          <w:szCs w:val="21"/>
          <w14:textFill>
            <w14:solidFill>
              <w14:schemeClr w14:val="tx1"/>
            </w14:solidFill>
          </w14:textFill>
        </w:rPr>
        <w:fldChar w:fldCharType="end"/>
      </w:r>
      <w:r>
        <w:rPr>
          <w:rFonts w:hint="eastAsia" w:ascii="Arial" w:hAnsi="Arial" w:cs="Arial"/>
          <w:color w:val="000000" w:themeColor="text1"/>
          <w:kern w:val="0"/>
          <w:szCs w:val="21"/>
          <w:lang w:eastAsia="zh-CN"/>
          <w14:textFill>
            <w14:solidFill>
              <w14:schemeClr w14:val="tx1"/>
            </w14:solidFill>
          </w14:textFill>
        </w:rPr>
        <w:t>。</w:t>
      </w:r>
    </w:p>
    <w:p>
      <w:pPr>
        <w:widowControl/>
        <w:spacing w:before="240" w:line="405" w:lineRule="atLeast"/>
        <w:ind w:firstLine="420" w:firstLineChars="200"/>
        <w:jc w:val="left"/>
        <w:rPr>
          <w:rFonts w:ascii="Arial" w:hAnsi="Arial" w:cs="Arial"/>
          <w:color w:val="000000" w:themeColor="text1"/>
          <w:kern w:val="0"/>
          <w:szCs w:val="21"/>
          <w14:textFill>
            <w14:solidFill>
              <w14:schemeClr w14:val="tx1"/>
            </w14:solidFill>
          </w14:textFill>
        </w:rPr>
      </w:pPr>
      <w:r>
        <w:rPr>
          <w:rFonts w:hint="eastAsia" w:ascii="Arial" w:hAnsi="Arial" w:cs="Arial"/>
          <w:color w:val="000000" w:themeColor="text1"/>
          <w:kern w:val="0"/>
          <w:szCs w:val="21"/>
          <w14:textFill>
            <w14:solidFill>
              <w14:schemeClr w14:val="tx1"/>
            </w14:solidFill>
          </w14:textFill>
        </w:rPr>
        <w:t>中国证券投资基金业协会：网址：</w:t>
      </w:r>
      <w:r>
        <w:rPr>
          <w:rFonts w:ascii="Arial" w:hAnsi="Arial" w:cs="Arial"/>
          <w:color w:val="000000" w:themeColor="text1"/>
          <w:kern w:val="0"/>
          <w:szCs w:val="21"/>
          <w14:textFill>
            <w14:solidFill>
              <w14:schemeClr w14:val="tx1"/>
            </w14:solidFill>
          </w14:textFill>
        </w:rPr>
        <w:t>www.amac.org.cn</w:t>
      </w:r>
      <w:r>
        <w:rPr>
          <w:rFonts w:hint="eastAsia" w:ascii="Arial" w:hAnsi="Arial" w:cs="Arial"/>
          <w:color w:val="000000" w:themeColor="text1"/>
          <w:kern w:val="0"/>
          <w:szCs w:val="21"/>
          <w14:textFill>
            <w14:solidFill>
              <w14:schemeClr w14:val="tx1"/>
            </w14:solidFill>
          </w14:textFill>
        </w:rPr>
        <w:t>，电子邮箱</w:t>
      </w:r>
      <w:r>
        <w:rPr>
          <w:rFonts w:ascii="Arial" w:hAnsi="Arial" w:cs="Arial"/>
          <w:color w:val="000000" w:themeColor="text1"/>
          <w:kern w:val="0"/>
          <w:szCs w:val="21"/>
          <w14:textFill>
            <w14:solidFill>
              <w14:schemeClr w14:val="tx1"/>
            </w14:solidFill>
          </w14:textFill>
        </w:rPr>
        <w:t>tousu@amac.org.cn</w:t>
      </w:r>
      <w:r>
        <w:rPr>
          <w:rFonts w:hint="eastAsia" w:ascii="Arial" w:hAnsi="Arial" w:cs="Arial"/>
          <w:color w:val="000000" w:themeColor="text1"/>
          <w:kern w:val="0"/>
          <w:szCs w:val="21"/>
          <w14:textFill>
            <w14:solidFill>
              <w14:schemeClr w14:val="tx1"/>
            </w14:solidFill>
          </w14:textFill>
        </w:rPr>
        <w:t>，地址：北京市西城区金融大街</w:t>
      </w:r>
      <w:r>
        <w:rPr>
          <w:rFonts w:ascii="Arial" w:hAnsi="Arial" w:cs="Arial"/>
          <w:color w:val="000000" w:themeColor="text1"/>
          <w:kern w:val="0"/>
          <w:szCs w:val="21"/>
          <w14:textFill>
            <w14:solidFill>
              <w14:schemeClr w14:val="tx1"/>
            </w14:solidFill>
          </w14:textFill>
        </w:rPr>
        <w:t>22</w:t>
      </w:r>
      <w:r>
        <w:rPr>
          <w:rFonts w:hint="eastAsia" w:ascii="Arial" w:hAnsi="Arial" w:cs="Arial"/>
          <w:color w:val="000000" w:themeColor="text1"/>
          <w:kern w:val="0"/>
          <w:szCs w:val="21"/>
          <w14:textFill>
            <w14:solidFill>
              <w14:schemeClr w14:val="tx1"/>
            </w14:solidFill>
          </w14:textFill>
        </w:rPr>
        <w:t>号交通银行大厦</w:t>
      </w:r>
      <w:r>
        <w:rPr>
          <w:rFonts w:ascii="Arial" w:hAnsi="Arial" w:cs="Arial"/>
          <w:color w:val="000000" w:themeColor="text1"/>
          <w:kern w:val="0"/>
          <w:szCs w:val="21"/>
          <w14:textFill>
            <w14:solidFill>
              <w14:schemeClr w14:val="tx1"/>
            </w14:solidFill>
          </w14:textFill>
        </w:rPr>
        <w:t>B</w:t>
      </w:r>
      <w:r>
        <w:rPr>
          <w:rFonts w:hint="eastAsia" w:ascii="Arial" w:hAnsi="Arial" w:cs="Arial"/>
          <w:color w:val="000000" w:themeColor="text1"/>
          <w:kern w:val="0"/>
          <w:szCs w:val="21"/>
          <w14:textFill>
            <w14:solidFill>
              <w14:schemeClr w14:val="tx1"/>
            </w14:solidFill>
          </w14:textFill>
        </w:rPr>
        <w:t>座</w:t>
      </w:r>
      <w:r>
        <w:rPr>
          <w:rFonts w:ascii="Arial" w:hAnsi="Arial" w:cs="Arial"/>
          <w:color w:val="000000" w:themeColor="text1"/>
          <w:kern w:val="0"/>
          <w:szCs w:val="21"/>
          <w14:textFill>
            <w14:solidFill>
              <w14:schemeClr w14:val="tx1"/>
            </w14:solidFill>
          </w14:textFill>
        </w:rPr>
        <w:t>9</w:t>
      </w:r>
      <w:r>
        <w:rPr>
          <w:rFonts w:hint="eastAsia" w:ascii="Arial" w:hAnsi="Arial" w:cs="Arial"/>
          <w:color w:val="000000" w:themeColor="text1"/>
          <w:kern w:val="0"/>
          <w:szCs w:val="21"/>
          <w14:textFill>
            <w14:solidFill>
              <w14:schemeClr w14:val="tx1"/>
            </w14:solidFill>
          </w14:textFill>
        </w:rPr>
        <w:t>层，邮编：</w:t>
      </w:r>
      <w:r>
        <w:rPr>
          <w:rFonts w:ascii="Arial" w:hAnsi="Arial" w:cs="Arial"/>
          <w:color w:val="000000" w:themeColor="text1"/>
          <w:kern w:val="0"/>
          <w:szCs w:val="21"/>
          <w14:textFill>
            <w14:solidFill>
              <w14:schemeClr w14:val="tx1"/>
            </w14:solidFill>
          </w14:textFill>
        </w:rPr>
        <w:t>100033</w:t>
      </w:r>
      <w:r>
        <w:rPr>
          <w:rFonts w:hint="eastAsia" w:ascii="Arial" w:hAnsi="Arial" w:cs="Arial"/>
          <w:color w:val="000000" w:themeColor="text1"/>
          <w:kern w:val="0"/>
          <w:szCs w:val="21"/>
          <w14:textFill>
            <w14:solidFill>
              <w14:schemeClr w14:val="tx1"/>
            </w14:solidFill>
          </w14:textFill>
        </w:rPr>
        <w:t>电话：</w:t>
      </w:r>
      <w:r>
        <w:rPr>
          <w:rFonts w:ascii="Arial" w:hAnsi="Arial" w:cs="Arial"/>
          <w:color w:val="000000" w:themeColor="text1"/>
          <w:kern w:val="0"/>
          <w:szCs w:val="21"/>
          <w14:textFill>
            <w14:solidFill>
              <w14:schemeClr w14:val="tx1"/>
            </w14:solidFill>
          </w14:textFill>
        </w:rPr>
        <w:t>010-58352888</w:t>
      </w:r>
      <w:r>
        <w:rPr>
          <w:rFonts w:hint="eastAsia" w:ascii="Arial" w:hAnsi="Arial" w:cs="Arial"/>
          <w:color w:val="000000" w:themeColor="text1"/>
          <w:kern w:val="0"/>
          <w:szCs w:val="21"/>
          <w14:textFill>
            <w14:solidFill>
              <w14:schemeClr w14:val="tx1"/>
            </w14:solidFill>
          </w14:textFill>
        </w:rPr>
        <w:t>（中国证券投资者呼叫中心）、</w:t>
      </w:r>
      <w:r>
        <w:rPr>
          <w:rFonts w:ascii="Arial" w:hAnsi="Arial" w:cs="Arial"/>
          <w:color w:val="000000" w:themeColor="text1"/>
          <w:kern w:val="0"/>
          <w:szCs w:val="21"/>
          <w14:textFill>
            <w14:solidFill>
              <w14:schemeClr w14:val="tx1"/>
            </w14:solidFill>
          </w14:textFill>
        </w:rPr>
        <w:t>www.sipf.com(</w:t>
      </w:r>
      <w:r>
        <w:rPr>
          <w:rFonts w:hint="eastAsia" w:ascii="Arial" w:hAnsi="Arial" w:cs="Arial"/>
          <w:color w:val="000000" w:themeColor="text1"/>
          <w:kern w:val="0"/>
          <w:szCs w:val="21"/>
          <w14:textFill>
            <w14:solidFill>
              <w14:schemeClr w14:val="tx1"/>
            </w14:solidFill>
          </w14:textFill>
        </w:rPr>
        <w:t>中国证券投资者保护网</w:t>
      </w:r>
      <w:r>
        <w:rPr>
          <w:rFonts w:ascii="Arial" w:hAnsi="Arial" w:cs="Arial"/>
          <w:color w:val="000000" w:themeColor="text1"/>
          <w:kern w:val="0"/>
          <w:szCs w:val="21"/>
          <w14:textFill>
            <w14:solidFill>
              <w14:schemeClr w14:val="tx1"/>
            </w14:solidFill>
          </w14:textFill>
        </w:rPr>
        <w:t>)</w:t>
      </w:r>
      <w:r>
        <w:rPr>
          <w:rFonts w:hint="eastAsia" w:ascii="Arial" w:hAnsi="Arial" w:cs="Arial"/>
          <w:color w:val="000000" w:themeColor="text1"/>
          <w:kern w:val="0"/>
          <w:szCs w:val="21"/>
          <w14:textFill>
            <w14:solidFill>
              <w14:schemeClr w14:val="tx1"/>
            </w14:solidFill>
          </w14:textFill>
        </w:rPr>
        <w:t>。</w:t>
      </w:r>
    </w:p>
    <w:p>
      <w:pPr>
        <w:widowControl/>
        <w:spacing w:before="240" w:line="405" w:lineRule="atLeast"/>
        <w:ind w:firstLine="420"/>
        <w:jc w:val="left"/>
      </w:pPr>
      <w:r>
        <w:rPr>
          <w:rFonts w:hint="eastAsia" w:ascii="Arial" w:hAnsi="Arial" w:cs="Arial"/>
          <w:color w:val="000000" w:themeColor="text1"/>
          <w:kern w:val="0"/>
          <w:szCs w:val="21"/>
          <w14:textFill>
            <w14:solidFill>
              <w14:schemeClr w14:val="tx1"/>
            </w14:solidFill>
          </w14:textFill>
        </w:rPr>
        <w:t>（三）因履行本协议引起的或与本协议有关的任何争议，由协议签订各方协商解决；协商不成的，</w:t>
      </w:r>
      <w:r>
        <w:rPr>
          <w:rFonts w:hint="eastAsia" w:ascii="Arial" w:hAnsi="Arial" w:cs="Arial"/>
          <w:b/>
          <w:bCs/>
          <w:color w:val="000000" w:themeColor="text1"/>
          <w:kern w:val="0"/>
          <w:szCs w:val="21"/>
          <w14:textFill>
            <w14:solidFill>
              <w14:schemeClr w14:val="tx1"/>
            </w14:solidFill>
          </w14:textFill>
        </w:rPr>
        <w:t>各方一致同意提请向原告所在地人民法院提起诉讼。</w:t>
      </w:r>
      <w:r>
        <w:rPr>
          <w:rFonts w:hint="eastAsia" w:ascii="Arial" w:hAnsi="Arial" w:cs="Arial"/>
          <w:color w:val="000000" w:themeColor="text1"/>
          <w:kern w:val="0"/>
          <w:szCs w:val="21"/>
          <w14:textFill>
            <w14:solidFill>
              <w14:schemeClr w14:val="tx1"/>
            </w14:solidFill>
          </w14:textFill>
        </w:rPr>
        <w:t>投资者所投资基金的《基金合同》另有规定的，按其规定处理。</w:t>
      </w:r>
    </w:p>
    <w:p>
      <w:pPr>
        <w:widowControl/>
        <w:spacing w:before="240" w:line="405" w:lineRule="atLeast"/>
        <w:ind w:firstLine="422" w:firstLineChars="200"/>
        <w:jc w:val="left"/>
        <w:rPr>
          <w:rFonts w:hint="eastAsia" w:ascii="Arial" w:hAnsi="Arial" w:cs="Arial"/>
          <w:color w:val="000000" w:themeColor="text1"/>
          <w:kern w:val="0"/>
          <w:szCs w:val="21"/>
          <w14:textFill>
            <w14:solidFill>
              <w14:schemeClr w14:val="tx1"/>
            </w14:solidFill>
          </w14:textFill>
        </w:rPr>
      </w:pPr>
      <w:r>
        <w:rPr>
          <w:rFonts w:hint="eastAsia" w:ascii="Arial" w:hAnsi="Arial" w:cs="Arial"/>
          <w:b/>
          <w:bCs/>
          <w:color w:val="000000" w:themeColor="text1"/>
          <w:kern w:val="0"/>
          <w:szCs w:val="21"/>
          <w14:textFill>
            <w14:solidFill>
              <w14:schemeClr w14:val="tx1"/>
            </w14:solidFill>
          </w14:textFill>
        </w:rPr>
        <w:t>投资人在投资基金</w:t>
      </w:r>
      <w:bookmarkStart w:id="0" w:name="_GoBack"/>
      <w:bookmarkEnd w:id="0"/>
      <w:r>
        <w:rPr>
          <w:rFonts w:hint="eastAsia" w:ascii="Arial" w:hAnsi="Arial" w:cs="Arial"/>
          <w:b/>
          <w:bCs/>
          <w:color w:val="000000" w:themeColor="text1"/>
          <w:kern w:val="0"/>
          <w:szCs w:val="21"/>
          <w14:textFill>
            <w14:solidFill>
              <w14:schemeClr w14:val="tx1"/>
            </w14:solidFill>
          </w14:textFill>
        </w:rPr>
        <w:t>前应认真阅读《基金合同》、《招募说明书》等基金法律文件，选择与自身风险承受能力相适应的基金。</w:t>
      </w:r>
      <w:r>
        <w:rPr>
          <w:rFonts w:hint="eastAsia" w:ascii="Arial" w:hAnsi="Arial" w:cs="Arial"/>
          <w:color w:val="000000" w:themeColor="text1"/>
          <w:kern w:val="0"/>
          <w:szCs w:val="21"/>
          <w14:textFill>
            <w14:solidFill>
              <w14:schemeClr w14:val="tx1"/>
            </w14:solidFill>
          </w14:textFill>
        </w:rPr>
        <w:t>我</w:t>
      </w:r>
      <w:r>
        <w:rPr>
          <w:rFonts w:hint="eastAsia" w:ascii="Arial" w:hAnsi="Arial" w:cs="Arial"/>
          <w:color w:val="000000" w:themeColor="text1"/>
          <w:kern w:val="0"/>
          <w:szCs w:val="21"/>
          <w:lang w:eastAsia="zh-CN"/>
          <w14:textFill>
            <w14:solidFill>
              <w14:schemeClr w14:val="tx1"/>
            </w14:solidFill>
          </w14:textFill>
        </w:rPr>
        <w:t>行</w:t>
      </w:r>
      <w:r>
        <w:rPr>
          <w:rFonts w:hint="eastAsia" w:ascii="Arial" w:hAnsi="Arial" w:cs="Arial"/>
          <w:color w:val="000000" w:themeColor="text1"/>
          <w:kern w:val="0"/>
          <w:szCs w:val="21"/>
          <w14:textFill>
            <w14:solidFill>
              <w14:schemeClr w14:val="tx1"/>
            </w14:solidFill>
          </w14:textFill>
        </w:rPr>
        <w:t>承诺投资人利益优先，以诚实信用、勤勉尽责的态度为投资人提供服务，</w:t>
      </w:r>
      <w:r>
        <w:rPr>
          <w:rFonts w:hint="eastAsia" w:ascii="Arial" w:hAnsi="Arial" w:cs="Arial"/>
          <w:b/>
          <w:bCs/>
          <w:color w:val="000000" w:themeColor="text1"/>
          <w:kern w:val="0"/>
          <w:szCs w:val="21"/>
          <w14:textFill>
            <w14:solidFill>
              <w14:schemeClr w14:val="tx1"/>
            </w14:solidFill>
          </w14:textFill>
        </w:rPr>
        <w:t>但不能保证基金一定盈利，也不能保证基金的最低收益。</w:t>
      </w:r>
      <w:r>
        <w:rPr>
          <w:rFonts w:hint="eastAsia" w:ascii="Arial" w:hAnsi="Arial" w:cs="Arial"/>
          <w:color w:val="000000" w:themeColor="text1"/>
          <w:kern w:val="0"/>
          <w:szCs w:val="21"/>
          <w14:textFill>
            <w14:solidFill>
              <w14:schemeClr w14:val="tx1"/>
            </w14:solidFill>
          </w14:textFill>
        </w:rPr>
        <w:t>投资人可登录中国证监会网站（</w:t>
      </w:r>
      <w:r>
        <w:rPr>
          <w:rFonts w:ascii="Arial" w:hAnsi="Arial" w:cs="Arial"/>
          <w:color w:val="000000" w:themeColor="text1"/>
          <w:kern w:val="0"/>
          <w:szCs w:val="21"/>
          <w14:textFill>
            <w14:solidFill>
              <w14:schemeClr w14:val="tx1"/>
            </w14:solidFill>
          </w14:textFill>
        </w:rPr>
        <w:t>www.csrc.gov.cn</w:t>
      </w:r>
      <w:r>
        <w:rPr>
          <w:rFonts w:hint="eastAsia" w:ascii="Arial" w:hAnsi="Arial" w:cs="Arial"/>
          <w:color w:val="000000" w:themeColor="text1"/>
          <w:kern w:val="0"/>
          <w:szCs w:val="21"/>
          <w14:textFill>
            <w14:solidFill>
              <w14:schemeClr w14:val="tx1"/>
            </w14:solidFill>
          </w14:textFill>
        </w:rPr>
        <w:t>）查询基金销售机构名录，核实我行基金销售资格。</w:t>
      </w:r>
    </w:p>
    <w:p>
      <w:pPr>
        <w:widowControl/>
        <w:spacing w:before="240" w:line="405" w:lineRule="atLeast"/>
        <w:ind w:firstLine="420" w:firstLineChars="200"/>
        <w:jc w:val="left"/>
        <w:rPr>
          <w:color w:val="000000" w:themeColor="text1"/>
          <w14:textFill>
            <w14:solidFill>
              <w14:schemeClr w14:val="tx1"/>
            </w14:solidFill>
          </w14:textFill>
        </w:rPr>
      </w:pPr>
      <w:r>
        <w:rPr>
          <w:rFonts w:hint="eastAsia" w:ascii="Arial" w:hAnsi="Arial" w:cs="Arial"/>
          <w:color w:val="000000" w:themeColor="text1"/>
          <w:kern w:val="0"/>
          <w:szCs w:val="21"/>
          <w:lang w:eastAsia="zh-CN"/>
          <w14:textFill>
            <w14:solidFill>
              <w14:schemeClr w14:val="tx1"/>
            </w14:solidFill>
          </w14:textFill>
        </w:rPr>
        <w:t>本《须知》有关内容将根据法律法规及监管机构或行业协会的要求或我行业务情况变化不时修订，相关修订以我行更新为准。</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rPr>
        <w:rFonts w:hint="eastAsia"/>
        <w:b/>
        <w:bCs/>
        <w:color w:val="FF0000"/>
      </w:rPr>
    </w:pPr>
    <w:r>
      <w:rPr>
        <w:b/>
        <w:bCs/>
        <w:color w:val="FF0000"/>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5"/>
                            <w:rPr>
                              <w:rFonts w:hint="eastAsia"/>
                            </w:rPr>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wps:txbx>
                    <wps:bodyPr wrap="none" lIns="0" tIns="0" rIns="0" bIns="0" upright="1">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oIcvzLgBAABUAwAADgAAAAAAAAABACAAAAAeAQAAZHJzL2Uyb0RvYy54bWxQSwUGAAAAAAYABgBZ&#10;AQAASAUAAAAA&#10;">
              <v:fill on="f" focussize="0,0"/>
              <v:stroke on="f"/>
              <v:imagedata o:title=""/>
              <o:lock v:ext="edit" aspectratio="f"/>
              <v:textbox inset="0mm,0mm,0mm,0mm" style="mso-fit-shape-to-text:t;">
                <w:txbxContent>
                  <w:p>
                    <w:pPr>
                      <w:pStyle w:val="5"/>
                      <w:rPr>
                        <w:rFonts w:hint="eastAsia"/>
                      </w:rPr>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v:textbox>
            </v:shape>
          </w:pict>
        </mc:Fallback>
      </mc:AlternateContent>
    </w:r>
    <w:r>
      <w:rPr>
        <w:rFonts w:hint="eastAsia"/>
        <w:b/>
        <w:bCs/>
        <w:color w:val="FF0000"/>
      </w:rPr>
      <w:t>全国服务热线（投诉电话）：95343</w:t>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rPr>
        <w:rFonts w:hint="eastAsia"/>
        <w:b/>
        <w:bCs/>
        <w:color w:val="FF0000"/>
      </w:rPr>
    </w:pPr>
    <w:r>
      <w:rPr>
        <w:b/>
        <w:bCs/>
        <w:color w:val="FF0000"/>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5"/>
                            <w:rPr>
                              <w:rFonts w:hint="eastAsia"/>
                            </w:rPr>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wrap="none" lIns="0" tIns="0" rIns="0" bIns="0" upright="1">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BN&#10;GKWqtwEAAFQDAAAOAAAAAAAAAAEAIAAAAB4BAABkcnMvZTJvRG9jLnhtbFBLBQYAAAAABgAGAFkB&#10;AABHBQAAAAA=&#10;">
              <v:fill on="f" focussize="0,0"/>
              <v:stroke on="f"/>
              <v:imagedata o:title=""/>
              <o:lock v:ext="edit" aspectratio="f"/>
              <v:textbox inset="0mm,0mm,0mm,0mm" style="mso-fit-shape-to-text:t;">
                <w:txbxContent>
                  <w:p>
                    <w:pPr>
                      <w:pStyle w:val="5"/>
                      <w:rPr>
                        <w:rFonts w:hint="eastAsia"/>
                      </w:rPr>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r>
      <w:rPr>
        <w:rFonts w:hint="eastAsia"/>
        <w:b/>
        <w:bCs/>
        <w:color w:val="FF0000"/>
      </w:rPr>
      <w:t>全国服务热线（投诉电话）：95343</w:t>
    </w:r>
  </w:p>
  <w:p>
    <w:pPr>
      <w:pStyle w:val="5"/>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087EA51"/>
    <w:multiLevelType w:val="singleLevel"/>
    <w:tmpl w:val="F087EA51"/>
    <w:lvl w:ilvl="0" w:tentative="0">
      <w:start w:val="2"/>
      <w:numFmt w:val="chineseCounting"/>
      <w:suff w:val="nothing"/>
      <w:lvlText w:val="（%1）"/>
      <w:lvlJc w:val="left"/>
      <w:pPr>
        <w:ind w:left="420" w:leftChars="0" w:firstLine="0" w:firstLineChars="0"/>
      </w:pPr>
      <w:rPr>
        <w:rFonts w:hint="eastAsia"/>
      </w:rPr>
    </w:lvl>
  </w:abstractNum>
  <w:abstractNum w:abstractNumId="1">
    <w:nsid w:val="5B9C76AB"/>
    <w:multiLevelType w:val="singleLevel"/>
    <w:tmpl w:val="5B9C76AB"/>
    <w:lvl w:ilvl="0" w:tentative="0">
      <w:start w:val="1"/>
      <w:numFmt w:val="chineseCounting"/>
      <w:suff w:val="nothing"/>
      <w:lvlText w:val="（%1）"/>
      <w:lvlJc w:val="left"/>
      <w:rPr>
        <w:rFonts w:hint="eastAsia"/>
      </w:rPr>
    </w:lvl>
  </w:abstractNum>
  <w:abstractNum w:abstractNumId="2">
    <w:nsid w:val="5F1C3F90"/>
    <w:multiLevelType w:val="singleLevel"/>
    <w:tmpl w:val="5F1C3F90"/>
    <w:lvl w:ilvl="0" w:tentative="0">
      <w:start w:val="1"/>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EE3"/>
    <w:rsid w:val="001A6FE5"/>
    <w:rsid w:val="00592EE3"/>
    <w:rsid w:val="209C6C7E"/>
    <w:rsid w:val="766050E6"/>
    <w:rsid w:val="776D2F83"/>
    <w:rsid w:val="7F0447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7">
    <w:name w:val="Default Paragraph Font"/>
    <w:semiHidden/>
    <w:unhideWhenUsed/>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2"/>
    <w:next w:val="1"/>
    <w:unhideWhenUsed/>
    <w:qFormat/>
    <w:uiPriority w:val="99"/>
    <w:pPr>
      <w:widowControl w:val="0"/>
      <w:ind w:firstLine="420" w:firstLineChars="200"/>
      <w:jc w:val="both"/>
    </w:pPr>
    <w:rPr>
      <w:rFonts w:ascii="Times New Roman" w:hAnsi="Times New Roman" w:eastAsia="宋体" w:cs="Times New Roman"/>
      <w:kern w:val="2"/>
      <w:sz w:val="21"/>
      <w:szCs w:val="24"/>
      <w:lang w:val="en-US" w:eastAsia="zh-CN" w:bidi="ar-SA"/>
    </w:rPr>
  </w:style>
  <w:style w:type="paragraph" w:styleId="3">
    <w:name w:val="annotation text"/>
    <w:basedOn w:val="1"/>
    <w:link w:val="17"/>
    <w:unhideWhenUsed/>
    <w:qFormat/>
    <w:uiPriority w:val="99"/>
    <w:pPr>
      <w:jc w:val="left"/>
    </w:pPr>
  </w:style>
  <w:style w:type="paragraph" w:styleId="4">
    <w:name w:val="Balloon Text"/>
    <w:basedOn w:val="1"/>
    <w:link w:val="18"/>
    <w:semiHidden/>
    <w:unhideWhenUsed/>
    <w:qFormat/>
    <w:uiPriority w:val="99"/>
    <w:rPr>
      <w:sz w:val="18"/>
      <w:szCs w:val="18"/>
    </w:rPr>
  </w:style>
  <w:style w:type="paragraph" w:styleId="5">
    <w:name w:val="footer"/>
    <w:basedOn w:val="1"/>
    <w:link w:val="13"/>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8">
    <w:name w:val="Hyperlink"/>
    <w:basedOn w:val="7"/>
    <w:semiHidden/>
    <w:unhideWhenUsed/>
    <w:uiPriority w:val="99"/>
    <w:rPr>
      <w:color w:val="0000FF"/>
      <w:u w:val="single"/>
    </w:rPr>
  </w:style>
  <w:style w:type="character" w:styleId="9">
    <w:name w:val="annotation reference"/>
    <w:semiHidden/>
    <w:unhideWhenUsed/>
    <w:qFormat/>
    <w:uiPriority w:val="99"/>
    <w:rPr>
      <w:sz w:val="21"/>
      <w:szCs w:val="21"/>
    </w:rPr>
  </w:style>
  <w:style w:type="table" w:styleId="11">
    <w:name w:val="Table Grid"/>
    <w:basedOn w:val="10"/>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2">
    <w:name w:val="页眉 Char"/>
    <w:basedOn w:val="7"/>
    <w:link w:val="6"/>
    <w:semiHidden/>
    <w:uiPriority w:val="99"/>
    <w:rPr>
      <w:sz w:val="18"/>
      <w:szCs w:val="18"/>
    </w:rPr>
  </w:style>
  <w:style w:type="character" w:customStyle="1" w:styleId="13">
    <w:name w:val="页脚 Char"/>
    <w:basedOn w:val="7"/>
    <w:link w:val="5"/>
    <w:semiHidden/>
    <w:uiPriority w:val="99"/>
    <w:rPr>
      <w:sz w:val="18"/>
      <w:szCs w:val="18"/>
    </w:rPr>
  </w:style>
  <w:style w:type="character" w:customStyle="1" w:styleId="14">
    <w:name w:val="页脚 字符"/>
    <w:semiHidden/>
    <w:qFormat/>
    <w:uiPriority w:val="99"/>
    <w:rPr>
      <w:sz w:val="18"/>
      <w:szCs w:val="18"/>
    </w:rPr>
  </w:style>
  <w:style w:type="character" w:customStyle="1" w:styleId="15">
    <w:name w:val="页眉 字符"/>
    <w:semiHidden/>
    <w:qFormat/>
    <w:uiPriority w:val="99"/>
    <w:rPr>
      <w:sz w:val="18"/>
      <w:szCs w:val="18"/>
    </w:rPr>
  </w:style>
  <w:style w:type="character" w:customStyle="1" w:styleId="16">
    <w:name w:val="批注文字 Char"/>
    <w:basedOn w:val="7"/>
    <w:link w:val="3"/>
    <w:semiHidden/>
    <w:qFormat/>
    <w:uiPriority w:val="99"/>
    <w:rPr>
      <w:rFonts w:ascii="Times New Roman" w:hAnsi="Times New Roman" w:eastAsia="宋体" w:cs="Times New Roman"/>
    </w:rPr>
  </w:style>
  <w:style w:type="character" w:customStyle="1" w:styleId="17">
    <w:name w:val="批注文字 字符"/>
    <w:link w:val="3"/>
    <w:qFormat/>
    <w:uiPriority w:val="99"/>
    <w:rPr>
      <w:rFonts w:ascii="Times New Roman" w:hAnsi="Times New Roman" w:eastAsia="宋体" w:cs="Times New Roman"/>
    </w:rPr>
  </w:style>
  <w:style w:type="character" w:customStyle="1" w:styleId="18">
    <w:name w:val="批注框文本 Char"/>
    <w:basedOn w:val="7"/>
    <w:link w:val="4"/>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6</Pages>
  <Words>643</Words>
  <Characters>3669</Characters>
  <Lines>30</Lines>
  <Paragraphs>8</Paragraphs>
  <TotalTime>5</TotalTime>
  <ScaleCrop>false</ScaleCrop>
  <LinksUpToDate>false</LinksUpToDate>
  <CharactersWithSpaces>4304</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2020-11-26T07:15:00Z</dcterms:created>
  <dc:creator>沈斯诺</dc:creator>
  <cp:lastModifiedBy>沈斯诺</cp:lastModifiedBy>
  <cp:lastPrinted>2023-08-24T00:45:00Z</cp:lastPrinted>
  <dcterms:modified xsi:type="dcterms:W3CDTF">2023-08-25T08:58:55Z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